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990" w:rsidRDefault="00D9351F">
      <w:pPr>
        <w:jc w:val="center"/>
        <w:rPr>
          <w:rFonts w:ascii="Times New Roman" w:hAnsi="Times New Roman" w:cs="Times New Roman"/>
          <w:b/>
          <w:sz w:val="30"/>
          <w:szCs w:val="30"/>
        </w:rPr>
      </w:pPr>
      <w:r>
        <w:rPr>
          <w:rFonts w:ascii="Times New Roman" w:hAnsi="Times New Roman" w:cs="Times New Roman"/>
          <w:b/>
          <w:sz w:val="30"/>
          <w:szCs w:val="30"/>
        </w:rPr>
        <w:t>宁波乐惠国际工程装备股份有限公司</w:t>
      </w:r>
    </w:p>
    <w:p w:rsidR="003C6990" w:rsidRDefault="00D9351F">
      <w:pPr>
        <w:jc w:val="center"/>
        <w:rPr>
          <w:rFonts w:ascii="Times New Roman" w:hAnsi="Times New Roman" w:cs="Times New Roman"/>
        </w:rPr>
      </w:pPr>
      <w:r>
        <w:rPr>
          <w:rFonts w:ascii="Times New Roman" w:hAnsi="Times New Roman" w:cs="Times New Roman"/>
          <w:b/>
          <w:sz w:val="30"/>
          <w:szCs w:val="30"/>
        </w:rPr>
        <w:t>投资者关系活动记录表</w:t>
      </w:r>
    </w:p>
    <w:tbl>
      <w:tblPr>
        <w:tblStyle w:val="a5"/>
        <w:tblW w:w="8475" w:type="dxa"/>
        <w:tblLook w:val="04A0" w:firstRow="1" w:lastRow="0" w:firstColumn="1" w:lastColumn="0" w:noHBand="0" w:noVBand="1"/>
      </w:tblPr>
      <w:tblGrid>
        <w:gridCol w:w="2263"/>
        <w:gridCol w:w="6212"/>
      </w:tblGrid>
      <w:tr w:rsidR="003C6990">
        <w:trPr>
          <w:trHeight w:val="2007"/>
        </w:trPr>
        <w:tc>
          <w:tcPr>
            <w:tcW w:w="2263" w:type="dxa"/>
            <w:vAlign w:val="center"/>
          </w:tcPr>
          <w:p w:rsidR="003C6990" w:rsidRDefault="00D9351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投资者关系活动类别</w:t>
            </w:r>
          </w:p>
        </w:tc>
        <w:tc>
          <w:tcPr>
            <w:tcW w:w="6212" w:type="dxa"/>
            <w:vAlign w:val="center"/>
          </w:tcPr>
          <w:p w:rsidR="003C6990" w:rsidRDefault="00D9351F">
            <w:pPr>
              <w:spacing w:line="360" w:lineRule="auto"/>
              <w:rPr>
                <w:rFonts w:asciiTheme="minorEastAsia" w:hAnsiTheme="minorEastAsia" w:cs="Times New Roman"/>
                <w:sz w:val="24"/>
                <w:szCs w:val="24"/>
              </w:rPr>
            </w:pPr>
            <w:r>
              <w:rPr>
                <w:rFonts w:asciiTheme="minorEastAsia" w:hAnsiTheme="minorEastAsia" w:cs="Times New Roman" w:hint="eastAsia"/>
                <w:sz w:val="24"/>
                <w:szCs w:val="24"/>
              </w:rPr>
              <w:t>□</w:t>
            </w:r>
            <w:r>
              <w:rPr>
                <w:rFonts w:ascii="Times New Roman" w:hAnsi="Times New Roman" w:cs="Times New Roman" w:hint="eastAsia"/>
                <w:sz w:val="24"/>
                <w:szCs w:val="24"/>
              </w:rPr>
              <w:t>特定对象调研；</w:t>
            </w:r>
            <w:r>
              <w:rPr>
                <w:rFonts w:ascii="Times New Roman" w:hAnsi="Times New Roman" w:cs="Times New Roman" w:hint="eastAsia"/>
                <w:sz w:val="24"/>
                <w:szCs w:val="24"/>
              </w:rPr>
              <w:t xml:space="preserve"> </w:t>
            </w:r>
            <w:r>
              <w:rPr>
                <w:rFonts w:asciiTheme="minorEastAsia" w:hAnsiTheme="minorEastAsia" w:cs="Times New Roman" w:hint="eastAsia"/>
                <w:sz w:val="24"/>
                <w:szCs w:val="24"/>
              </w:rPr>
              <w:t xml:space="preserve">□分析师会议； </w:t>
            </w:r>
          </w:p>
          <w:p w:rsidR="003C6990" w:rsidRDefault="00D9351F">
            <w:pPr>
              <w:spacing w:line="360" w:lineRule="auto"/>
              <w:rPr>
                <w:rFonts w:asciiTheme="minorEastAsia" w:hAnsiTheme="minorEastAsia" w:cs="Times New Roman"/>
                <w:sz w:val="24"/>
                <w:szCs w:val="24"/>
              </w:rPr>
            </w:pPr>
            <w:r>
              <w:rPr>
                <w:rFonts w:asciiTheme="minorEastAsia" w:hAnsiTheme="minorEastAsia" w:cs="Times New Roman" w:hint="eastAsia"/>
                <w:sz w:val="24"/>
                <w:szCs w:val="24"/>
              </w:rPr>
              <w:t xml:space="preserve">□媒体采访； □业绩说明会； </w:t>
            </w:r>
          </w:p>
          <w:p w:rsidR="003C6990" w:rsidRDefault="00D9351F">
            <w:pPr>
              <w:spacing w:line="360" w:lineRule="auto"/>
              <w:rPr>
                <w:rFonts w:asciiTheme="minorEastAsia" w:hAnsiTheme="minorEastAsia" w:cs="Times New Roman"/>
                <w:sz w:val="24"/>
                <w:szCs w:val="24"/>
              </w:rPr>
            </w:pPr>
            <w:r>
              <w:rPr>
                <w:rFonts w:asciiTheme="minorEastAsia" w:hAnsiTheme="minorEastAsia" w:cs="Times New Roman" w:hint="eastAsia"/>
                <w:sz w:val="24"/>
                <w:szCs w:val="24"/>
              </w:rPr>
              <w:t>□新闻发布会； □路演活动；</w:t>
            </w:r>
          </w:p>
          <w:p w:rsidR="003C6990" w:rsidRDefault="00D9351F">
            <w:pPr>
              <w:spacing w:line="360" w:lineRule="auto"/>
              <w:rPr>
                <w:rFonts w:ascii="Times New Roman" w:hAnsi="Times New Roman" w:cs="Times New Roman"/>
                <w:sz w:val="24"/>
                <w:szCs w:val="24"/>
              </w:rPr>
            </w:pPr>
            <w:r>
              <w:rPr>
                <w:rFonts w:asciiTheme="minorEastAsia" w:hAnsiTheme="minorEastAsia" w:cs="Times New Roman" w:hint="eastAsia"/>
                <w:sz w:val="24"/>
                <w:szCs w:val="24"/>
              </w:rPr>
              <w:sym w:font="Wingdings 2" w:char="F052"/>
            </w:r>
            <w:r>
              <w:rPr>
                <w:rFonts w:asciiTheme="minorEastAsia" w:hAnsiTheme="minorEastAsia" w:cs="Times New Roman" w:hint="eastAsia"/>
                <w:sz w:val="24"/>
                <w:szCs w:val="24"/>
              </w:rPr>
              <w:t>现场参观； □其他（</w:t>
            </w:r>
            <w:r>
              <w:rPr>
                <w:rFonts w:asciiTheme="minorEastAsia" w:hAnsiTheme="minorEastAsia" w:cs="Times New Roman" w:hint="eastAsia"/>
                <w:sz w:val="24"/>
                <w:szCs w:val="24"/>
                <w:u w:val="single"/>
              </w:rPr>
              <w:t xml:space="preserve">    </w:t>
            </w:r>
            <w:r>
              <w:rPr>
                <w:rFonts w:asciiTheme="minorEastAsia" w:hAnsiTheme="minorEastAsia" w:cs="Times New Roman"/>
                <w:sz w:val="24"/>
                <w:szCs w:val="24"/>
                <w:u w:val="single"/>
              </w:rPr>
              <w:t xml:space="preserve">        </w:t>
            </w:r>
            <w:r>
              <w:rPr>
                <w:rFonts w:asciiTheme="minorEastAsia" w:hAnsiTheme="minorEastAsia" w:cs="Times New Roman" w:hint="eastAsia"/>
                <w:sz w:val="24"/>
                <w:szCs w:val="24"/>
                <w:u w:val="single"/>
              </w:rPr>
              <w:t xml:space="preserve">    </w:t>
            </w:r>
            <w:r>
              <w:rPr>
                <w:rFonts w:asciiTheme="minorEastAsia" w:hAnsiTheme="minorEastAsia" w:cs="Times New Roman" w:hint="eastAsia"/>
                <w:sz w:val="24"/>
                <w:szCs w:val="24"/>
              </w:rPr>
              <w:t>）</w:t>
            </w:r>
          </w:p>
        </w:tc>
      </w:tr>
      <w:tr w:rsidR="003C6990">
        <w:trPr>
          <w:trHeight w:val="1503"/>
        </w:trPr>
        <w:tc>
          <w:tcPr>
            <w:tcW w:w="2263" w:type="dxa"/>
            <w:vAlign w:val="center"/>
          </w:tcPr>
          <w:p w:rsidR="003C6990" w:rsidRDefault="00D9351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参与单位名称及人员姓名</w:t>
            </w:r>
          </w:p>
        </w:tc>
        <w:tc>
          <w:tcPr>
            <w:tcW w:w="6212" w:type="dxa"/>
          </w:tcPr>
          <w:p w:rsidR="003C6990" w:rsidRDefault="00D9351F">
            <w:pPr>
              <w:spacing w:line="360" w:lineRule="auto"/>
              <w:rPr>
                <w:rFonts w:ascii="Times New Roman" w:hAnsi="Times New Roman" w:cs="Times New Roman"/>
                <w:sz w:val="24"/>
                <w:szCs w:val="24"/>
              </w:rPr>
            </w:pPr>
            <w:r>
              <w:rPr>
                <w:rFonts w:ascii="Times New Roman" w:hAnsi="Times New Roman" w:cs="Times New Roman" w:hint="eastAsia"/>
                <w:sz w:val="24"/>
                <w:szCs w:val="24"/>
              </w:rPr>
              <w:t>博时基金、</w:t>
            </w:r>
            <w:proofErr w:type="gramStart"/>
            <w:r>
              <w:rPr>
                <w:rFonts w:ascii="Times New Roman" w:hAnsi="Times New Roman" w:cs="Times New Roman" w:hint="eastAsia"/>
                <w:sz w:val="24"/>
                <w:szCs w:val="24"/>
              </w:rPr>
              <w:t>中庚基金</w:t>
            </w:r>
            <w:proofErr w:type="gramEnd"/>
            <w:r>
              <w:rPr>
                <w:rFonts w:ascii="Times New Roman" w:hAnsi="Times New Roman" w:cs="Times New Roman" w:hint="eastAsia"/>
                <w:sz w:val="24"/>
                <w:szCs w:val="24"/>
              </w:rPr>
              <w:t>、观彻投资、</w:t>
            </w:r>
            <w:proofErr w:type="gramStart"/>
            <w:r>
              <w:rPr>
                <w:rFonts w:ascii="Times New Roman" w:hAnsi="Times New Roman" w:cs="Times New Roman" w:hint="eastAsia"/>
                <w:sz w:val="24"/>
                <w:szCs w:val="24"/>
              </w:rPr>
              <w:t>昀</w:t>
            </w:r>
            <w:proofErr w:type="gramEnd"/>
            <w:r>
              <w:rPr>
                <w:rFonts w:ascii="Times New Roman" w:hAnsi="Times New Roman" w:cs="Times New Roman" w:hint="eastAsia"/>
                <w:sz w:val="24"/>
                <w:szCs w:val="24"/>
              </w:rPr>
              <w:t>启私募、开源自营、上海递归私募基金、上海中道优创实业、</w:t>
            </w:r>
            <w:proofErr w:type="gramStart"/>
            <w:r>
              <w:rPr>
                <w:rFonts w:ascii="Times New Roman" w:hAnsi="Times New Roman" w:cs="Times New Roman" w:hint="eastAsia"/>
                <w:sz w:val="24"/>
                <w:szCs w:val="24"/>
              </w:rPr>
              <w:t>朔盈资产</w:t>
            </w:r>
            <w:proofErr w:type="gramEnd"/>
            <w:r>
              <w:rPr>
                <w:rFonts w:ascii="Times New Roman" w:hAnsi="Times New Roman" w:cs="Times New Roman" w:hint="eastAsia"/>
                <w:sz w:val="24"/>
                <w:szCs w:val="24"/>
              </w:rPr>
              <w:t>、上海九方云智能科技、天</w:t>
            </w:r>
            <w:proofErr w:type="gramStart"/>
            <w:r>
              <w:rPr>
                <w:rFonts w:ascii="Times New Roman" w:hAnsi="Times New Roman" w:cs="Times New Roman" w:hint="eastAsia"/>
                <w:sz w:val="24"/>
                <w:szCs w:val="24"/>
              </w:rPr>
              <w:t>瑞万合</w:t>
            </w:r>
            <w:proofErr w:type="gramEnd"/>
            <w:r>
              <w:rPr>
                <w:rFonts w:ascii="Times New Roman" w:hAnsi="Times New Roman" w:cs="Times New Roman" w:hint="eastAsia"/>
                <w:sz w:val="24"/>
                <w:szCs w:val="24"/>
              </w:rPr>
              <w:t>、长城证券、国海证券、华创证券、开源证券、东方财富证券、天风证券、中银证券、中邮证券、中泰证券、东吴证券、德邦证券、东北证券、上海仙人掌私募基金</w:t>
            </w:r>
          </w:p>
        </w:tc>
      </w:tr>
      <w:tr w:rsidR="003C6990">
        <w:trPr>
          <w:trHeight w:val="560"/>
        </w:trPr>
        <w:tc>
          <w:tcPr>
            <w:tcW w:w="2263" w:type="dxa"/>
            <w:vAlign w:val="center"/>
          </w:tcPr>
          <w:p w:rsidR="003C6990" w:rsidRDefault="00D9351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时间</w:t>
            </w:r>
          </w:p>
        </w:tc>
        <w:tc>
          <w:tcPr>
            <w:tcW w:w="6212" w:type="dxa"/>
          </w:tcPr>
          <w:p w:rsidR="003C6990" w:rsidRDefault="00D9351F" w:rsidP="004B05CE">
            <w:pPr>
              <w:spacing w:line="360" w:lineRule="auto"/>
              <w:rPr>
                <w:rFonts w:ascii="Times New Roman" w:hAnsi="Times New Roman" w:cs="Times New Roman"/>
                <w:sz w:val="24"/>
                <w:szCs w:val="24"/>
              </w:rPr>
            </w:pPr>
            <w:r>
              <w:rPr>
                <w:rFonts w:ascii="Times New Roman" w:hAnsi="Times New Roman" w:cs="Times New Roman" w:hint="eastAsia"/>
                <w:sz w:val="24"/>
                <w:szCs w:val="24"/>
              </w:rPr>
              <w:t>2026</w:t>
            </w:r>
            <w:r>
              <w:rPr>
                <w:rFonts w:ascii="Times New Roman" w:hAnsi="Times New Roman" w:cs="Times New Roman" w:hint="eastAsia"/>
                <w:sz w:val="24"/>
                <w:szCs w:val="24"/>
              </w:rPr>
              <w:t>年</w:t>
            </w:r>
            <w:r>
              <w:rPr>
                <w:rFonts w:ascii="Times New Roman" w:hAnsi="Times New Roman" w:cs="Times New Roman" w:hint="eastAsia"/>
                <w:sz w:val="24"/>
                <w:szCs w:val="24"/>
              </w:rPr>
              <w:t>11</w:t>
            </w:r>
            <w:r>
              <w:rPr>
                <w:rFonts w:ascii="Times New Roman" w:hAnsi="Times New Roman" w:cs="Times New Roman" w:hint="eastAsia"/>
                <w:sz w:val="24"/>
                <w:szCs w:val="24"/>
              </w:rPr>
              <w:t>月</w:t>
            </w:r>
            <w:r>
              <w:rPr>
                <w:rFonts w:ascii="Times New Roman" w:hAnsi="Times New Roman" w:cs="Times New Roman" w:hint="eastAsia"/>
                <w:sz w:val="24"/>
                <w:szCs w:val="24"/>
              </w:rPr>
              <w:t>2</w:t>
            </w:r>
            <w:r>
              <w:rPr>
                <w:rFonts w:ascii="Times New Roman" w:hAnsi="Times New Roman" w:cs="Times New Roman" w:hint="eastAsia"/>
                <w:sz w:val="24"/>
                <w:szCs w:val="24"/>
              </w:rPr>
              <w:t>日</w:t>
            </w:r>
            <w:r>
              <w:rPr>
                <w:rFonts w:ascii="Times New Roman" w:hAnsi="Times New Roman" w:cs="Times New Roman" w:hint="eastAsia"/>
                <w:sz w:val="24"/>
                <w:szCs w:val="24"/>
              </w:rPr>
              <w:t xml:space="preserve"> </w:t>
            </w:r>
            <w:r w:rsidR="00CB7EE8">
              <w:rPr>
                <w:rFonts w:ascii="Times New Roman" w:hAnsi="Times New Roman" w:cs="Times New Roman"/>
                <w:sz w:val="24"/>
                <w:szCs w:val="24"/>
              </w:rPr>
              <w:t>15</w:t>
            </w:r>
            <w:r w:rsidR="00CB7EE8">
              <w:rPr>
                <w:rFonts w:ascii="Times New Roman" w:hAnsi="Times New Roman" w:cs="Times New Roman"/>
                <w:sz w:val="24"/>
                <w:szCs w:val="24"/>
              </w:rPr>
              <w:t>：</w:t>
            </w:r>
            <w:r w:rsidR="00CB7EE8">
              <w:rPr>
                <w:rFonts w:ascii="Times New Roman" w:hAnsi="Times New Roman" w:cs="Times New Roman" w:hint="eastAsia"/>
                <w:sz w:val="24"/>
                <w:szCs w:val="24"/>
              </w:rPr>
              <w:t>3</w:t>
            </w:r>
            <w:r w:rsidR="00CB7EE8">
              <w:rPr>
                <w:rFonts w:ascii="Times New Roman" w:hAnsi="Times New Roman" w:cs="Times New Roman"/>
                <w:sz w:val="24"/>
                <w:szCs w:val="24"/>
              </w:rPr>
              <w:t>0-17</w:t>
            </w:r>
            <w:r w:rsidR="00CB7EE8">
              <w:rPr>
                <w:rFonts w:ascii="Times New Roman" w:hAnsi="Times New Roman" w:cs="Times New Roman"/>
                <w:sz w:val="24"/>
                <w:szCs w:val="24"/>
              </w:rPr>
              <w:t>：</w:t>
            </w:r>
            <w:r w:rsidR="004B05CE">
              <w:rPr>
                <w:rFonts w:ascii="Times New Roman" w:hAnsi="Times New Roman" w:cs="Times New Roman"/>
                <w:sz w:val="24"/>
                <w:szCs w:val="24"/>
              </w:rPr>
              <w:t>3</w:t>
            </w:r>
            <w:bookmarkStart w:id="0" w:name="_GoBack"/>
            <w:bookmarkEnd w:id="0"/>
            <w:r w:rsidR="00CB7EE8">
              <w:rPr>
                <w:rFonts w:ascii="Times New Roman" w:hAnsi="Times New Roman" w:cs="Times New Roman"/>
                <w:sz w:val="24"/>
                <w:szCs w:val="24"/>
              </w:rPr>
              <w:t>0</w:t>
            </w:r>
          </w:p>
        </w:tc>
      </w:tr>
      <w:tr w:rsidR="003C6990">
        <w:trPr>
          <w:trHeight w:val="696"/>
        </w:trPr>
        <w:tc>
          <w:tcPr>
            <w:tcW w:w="2263" w:type="dxa"/>
            <w:vAlign w:val="center"/>
          </w:tcPr>
          <w:p w:rsidR="003C6990" w:rsidRDefault="00D9351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地点</w:t>
            </w:r>
          </w:p>
        </w:tc>
        <w:tc>
          <w:tcPr>
            <w:tcW w:w="6212" w:type="dxa"/>
          </w:tcPr>
          <w:p w:rsidR="003C6990" w:rsidRDefault="00D9351F">
            <w:pPr>
              <w:spacing w:line="360" w:lineRule="auto"/>
              <w:rPr>
                <w:rFonts w:ascii="Times New Roman" w:hAnsi="Times New Roman" w:cs="Times New Roman"/>
                <w:sz w:val="24"/>
                <w:szCs w:val="24"/>
              </w:rPr>
            </w:pPr>
            <w:r>
              <w:rPr>
                <w:rFonts w:ascii="Times New Roman" w:hAnsi="Times New Roman" w:cs="Times New Roman"/>
                <w:sz w:val="24"/>
                <w:szCs w:val="24"/>
              </w:rPr>
              <w:t>上海市松江区茸兴路</w:t>
            </w:r>
            <w:r>
              <w:rPr>
                <w:rFonts w:ascii="Times New Roman" w:hAnsi="Times New Roman" w:cs="Times New Roman"/>
                <w:sz w:val="24"/>
                <w:szCs w:val="24"/>
              </w:rPr>
              <w:t>101</w:t>
            </w:r>
            <w:r>
              <w:rPr>
                <w:rFonts w:ascii="Times New Roman" w:hAnsi="Times New Roman" w:cs="Times New Roman"/>
                <w:sz w:val="24"/>
                <w:szCs w:val="24"/>
              </w:rPr>
              <w:t>号</w:t>
            </w:r>
          </w:p>
        </w:tc>
      </w:tr>
      <w:tr w:rsidR="003C6990">
        <w:trPr>
          <w:trHeight w:val="692"/>
        </w:trPr>
        <w:tc>
          <w:tcPr>
            <w:tcW w:w="2263" w:type="dxa"/>
            <w:vAlign w:val="center"/>
          </w:tcPr>
          <w:p w:rsidR="003C6990" w:rsidRDefault="00D9351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上市公司接待人员</w:t>
            </w:r>
          </w:p>
        </w:tc>
        <w:tc>
          <w:tcPr>
            <w:tcW w:w="6212" w:type="dxa"/>
          </w:tcPr>
          <w:p w:rsidR="003C6990" w:rsidRDefault="00D9351F">
            <w:pPr>
              <w:spacing w:line="360" w:lineRule="auto"/>
              <w:rPr>
                <w:rFonts w:ascii="Times New Roman" w:hAnsi="Times New Roman" w:cs="Times New Roman"/>
                <w:sz w:val="24"/>
                <w:szCs w:val="24"/>
              </w:rPr>
            </w:pPr>
            <w:r>
              <w:rPr>
                <w:rFonts w:ascii="Times New Roman" w:hAnsi="Times New Roman" w:cs="Times New Roman" w:hint="eastAsia"/>
                <w:sz w:val="24"/>
                <w:szCs w:val="24"/>
              </w:rPr>
              <w:t>副董事长、总经理：黄粤宁</w:t>
            </w:r>
          </w:p>
          <w:p w:rsidR="003C6990" w:rsidRDefault="00D9351F">
            <w:pPr>
              <w:spacing w:line="360" w:lineRule="auto"/>
              <w:rPr>
                <w:rFonts w:ascii="Times New Roman" w:hAnsi="Times New Roman" w:cs="Times New Roman"/>
                <w:sz w:val="24"/>
                <w:szCs w:val="24"/>
              </w:rPr>
            </w:pPr>
            <w:r>
              <w:rPr>
                <w:rFonts w:ascii="Times New Roman" w:hAnsi="Times New Roman" w:cs="Times New Roman" w:hint="eastAsia"/>
                <w:sz w:val="24"/>
                <w:szCs w:val="24"/>
              </w:rPr>
              <w:t>董事会秘书：徐力韬</w:t>
            </w:r>
          </w:p>
          <w:p w:rsidR="003C6990" w:rsidRDefault="00D9351F">
            <w:pPr>
              <w:spacing w:line="360" w:lineRule="auto"/>
              <w:rPr>
                <w:rFonts w:ascii="Times New Roman" w:hAnsi="Times New Roman" w:cs="Times New Roman"/>
                <w:sz w:val="24"/>
                <w:szCs w:val="24"/>
              </w:rPr>
            </w:pPr>
            <w:r>
              <w:rPr>
                <w:rFonts w:ascii="Times New Roman" w:hAnsi="Times New Roman" w:cs="Times New Roman" w:hint="eastAsia"/>
                <w:sz w:val="24"/>
                <w:szCs w:val="24"/>
              </w:rPr>
              <w:t>财务总监：舒思晨</w:t>
            </w:r>
          </w:p>
        </w:tc>
      </w:tr>
      <w:tr w:rsidR="003C6990">
        <w:trPr>
          <w:trHeight w:val="3962"/>
        </w:trPr>
        <w:tc>
          <w:tcPr>
            <w:tcW w:w="2263" w:type="dxa"/>
            <w:vAlign w:val="center"/>
          </w:tcPr>
          <w:p w:rsidR="003C6990" w:rsidRDefault="00D9351F">
            <w:pPr>
              <w:spacing w:line="360" w:lineRule="auto"/>
              <w:jc w:val="center"/>
              <w:rPr>
                <w:rFonts w:ascii="Times New Roman" w:hAnsi="Times New Roman" w:cs="Times New Roman"/>
                <w:b/>
                <w:sz w:val="24"/>
                <w:szCs w:val="24"/>
              </w:rPr>
            </w:pPr>
            <w:r>
              <w:rPr>
                <w:rFonts w:ascii="Times New Roman" w:hAnsi="Times New Roman" w:cs="Times New Roman"/>
                <w:b/>
                <w:sz w:val="24"/>
                <w:szCs w:val="24"/>
              </w:rPr>
              <w:t>投资者关系活动主要内容介绍</w:t>
            </w:r>
          </w:p>
        </w:tc>
        <w:tc>
          <w:tcPr>
            <w:tcW w:w="6212" w:type="dxa"/>
          </w:tcPr>
          <w:p w:rsidR="003C6990" w:rsidRDefault="00D9351F">
            <w:pPr>
              <w:spacing w:line="360" w:lineRule="auto"/>
              <w:rPr>
                <w:rFonts w:ascii="Times New Roman" w:hAnsi="Times New Roman" w:cs="Times New Roman"/>
                <w:sz w:val="24"/>
                <w:szCs w:val="24"/>
              </w:rPr>
            </w:pPr>
            <w:r>
              <w:rPr>
                <w:rFonts w:ascii="Times New Roman" w:hAnsi="Times New Roman" w:cs="Times New Roman" w:hint="eastAsia"/>
                <w:sz w:val="24"/>
                <w:szCs w:val="24"/>
              </w:rPr>
              <w:t>活动期间谈论的主要内容如下：</w:t>
            </w:r>
          </w:p>
          <w:p w:rsidR="003C6990" w:rsidRDefault="00D9351F">
            <w:pPr>
              <w:pStyle w:val="a6"/>
              <w:numPr>
                <w:ilvl w:val="0"/>
                <w:numId w:val="1"/>
              </w:numPr>
              <w:spacing w:line="360" w:lineRule="auto"/>
              <w:ind w:firstLineChars="0"/>
              <w:rPr>
                <w:rFonts w:ascii="Times New Roman" w:hAnsi="Times New Roman" w:cs="Times New Roman"/>
                <w:sz w:val="24"/>
                <w:szCs w:val="24"/>
              </w:rPr>
            </w:pPr>
            <w:r>
              <w:rPr>
                <w:rFonts w:ascii="Times New Roman" w:hAnsi="Times New Roman" w:cs="Times New Roman" w:hint="eastAsia"/>
                <w:sz w:val="24"/>
                <w:szCs w:val="24"/>
              </w:rPr>
              <w:t>公司介绍情况</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hint="eastAsia"/>
                <w:sz w:val="24"/>
                <w:szCs w:val="24"/>
              </w:rPr>
              <w:t>宁波乐惠国际工程装备股份有限公司（</w:t>
            </w:r>
            <w:r>
              <w:rPr>
                <w:rFonts w:ascii="Times New Roman" w:hAnsi="Times New Roman" w:cs="Times New Roman" w:hint="eastAsia"/>
                <w:sz w:val="24"/>
                <w:szCs w:val="24"/>
              </w:rPr>
              <w:t>603076.SH</w:t>
            </w:r>
            <w:r>
              <w:rPr>
                <w:rFonts w:ascii="Times New Roman" w:hAnsi="Times New Roman" w:cs="Times New Roman" w:hint="eastAsia"/>
                <w:sz w:val="24"/>
                <w:szCs w:val="24"/>
              </w:rPr>
              <w:t>）是国内领先的液态食品装备服务商，</w:t>
            </w:r>
            <w:r>
              <w:rPr>
                <w:rFonts w:ascii="Times New Roman" w:hAnsi="Times New Roman" w:cs="Times New Roman"/>
                <w:sz w:val="24"/>
                <w:szCs w:val="24"/>
              </w:rPr>
              <w:t>主营啤酒、饮料、乳品成套酿造与包装设备，可为客户提供整厂交钥匙工程，客户遍布海内外；公司依托装备制造优势向下游延伸，打造自有精酿鲜</w:t>
            </w:r>
            <w:proofErr w:type="gramStart"/>
            <w:r>
              <w:rPr>
                <w:rFonts w:ascii="Times New Roman" w:hAnsi="Times New Roman" w:cs="Times New Roman"/>
                <w:sz w:val="24"/>
                <w:szCs w:val="24"/>
              </w:rPr>
              <w:t>啤</w:t>
            </w:r>
            <w:proofErr w:type="gramEnd"/>
            <w:r>
              <w:rPr>
                <w:rFonts w:ascii="Times New Roman" w:hAnsi="Times New Roman" w:cs="Times New Roman"/>
                <w:sz w:val="24"/>
                <w:szCs w:val="24"/>
              </w:rPr>
              <w:t>品牌</w:t>
            </w:r>
            <w:r>
              <w:rPr>
                <w:rFonts w:ascii="Times New Roman" w:hAnsi="Times New Roman" w:cs="Times New Roman"/>
                <w:sz w:val="24"/>
                <w:szCs w:val="24"/>
              </w:rPr>
              <w:t xml:space="preserve"> “</w:t>
            </w:r>
            <w:r>
              <w:rPr>
                <w:rFonts w:ascii="Times New Roman" w:hAnsi="Times New Roman" w:cs="Times New Roman"/>
                <w:sz w:val="24"/>
                <w:szCs w:val="24"/>
              </w:rPr>
              <w:t>鲜</w:t>
            </w:r>
            <w:proofErr w:type="gramStart"/>
            <w:r>
              <w:rPr>
                <w:rFonts w:ascii="Times New Roman" w:hAnsi="Times New Roman" w:cs="Times New Roman"/>
                <w:sz w:val="24"/>
                <w:szCs w:val="24"/>
              </w:rPr>
              <w:t>啤</w:t>
            </w:r>
            <w:proofErr w:type="gramEnd"/>
            <w:r>
              <w:rPr>
                <w:rFonts w:ascii="Times New Roman" w:hAnsi="Times New Roman" w:cs="Times New Roman"/>
                <w:sz w:val="24"/>
                <w:szCs w:val="24"/>
              </w:rPr>
              <w:t xml:space="preserve"> 30 </w:t>
            </w:r>
            <w:r>
              <w:rPr>
                <w:rFonts w:ascii="Times New Roman" w:hAnsi="Times New Roman" w:cs="Times New Roman"/>
                <w:sz w:val="24"/>
                <w:szCs w:val="24"/>
              </w:rPr>
              <w:t>公里</w:t>
            </w:r>
            <w:r>
              <w:rPr>
                <w:rFonts w:ascii="Times New Roman" w:hAnsi="Times New Roman" w:cs="Times New Roman"/>
                <w:sz w:val="24"/>
                <w:szCs w:val="24"/>
              </w:rPr>
              <w:t>”</w:t>
            </w:r>
            <w:r>
              <w:rPr>
                <w:rFonts w:ascii="Times New Roman" w:hAnsi="Times New Roman" w:cs="Times New Roman"/>
                <w:sz w:val="24"/>
                <w:szCs w:val="24"/>
              </w:rPr>
              <w:t>，采用分布式产能模式生产活酵母鲜</w:t>
            </w:r>
            <w:proofErr w:type="gramStart"/>
            <w:r>
              <w:rPr>
                <w:rFonts w:ascii="Times New Roman" w:hAnsi="Times New Roman" w:cs="Times New Roman"/>
                <w:sz w:val="24"/>
                <w:szCs w:val="24"/>
              </w:rPr>
              <w:t>啤</w:t>
            </w:r>
            <w:proofErr w:type="gramEnd"/>
            <w:r>
              <w:rPr>
                <w:rFonts w:ascii="Times New Roman" w:hAnsi="Times New Roman" w:cs="Times New Roman"/>
                <w:sz w:val="24"/>
                <w:szCs w:val="24"/>
              </w:rPr>
              <w:t>，</w:t>
            </w:r>
            <w:r>
              <w:rPr>
                <w:rFonts w:ascii="Times New Roman" w:hAnsi="Times New Roman" w:cs="Times New Roman" w:hint="eastAsia"/>
                <w:sz w:val="24"/>
                <w:szCs w:val="24"/>
              </w:rPr>
              <w:t>发展第二增长曲线</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sz w:val="24"/>
                <w:szCs w:val="24"/>
              </w:rPr>
              <w:t xml:space="preserve">2026 </w:t>
            </w:r>
            <w:r>
              <w:rPr>
                <w:rFonts w:ascii="Times New Roman" w:hAnsi="Times New Roman" w:cs="Times New Roman"/>
                <w:sz w:val="24"/>
                <w:szCs w:val="24"/>
              </w:rPr>
              <w:t>年前三季度，公司实现营收</w:t>
            </w:r>
            <w:r>
              <w:rPr>
                <w:rFonts w:ascii="Times New Roman" w:hAnsi="Times New Roman" w:cs="Times New Roman"/>
                <w:sz w:val="24"/>
                <w:szCs w:val="24"/>
              </w:rPr>
              <w:t xml:space="preserve"> 11.05 </w:t>
            </w:r>
            <w:r>
              <w:rPr>
                <w:rFonts w:ascii="Times New Roman" w:hAnsi="Times New Roman" w:cs="Times New Roman"/>
                <w:sz w:val="24"/>
                <w:szCs w:val="24"/>
              </w:rPr>
              <w:t>亿元，同比增长</w:t>
            </w:r>
            <w:r>
              <w:rPr>
                <w:rFonts w:ascii="Times New Roman" w:hAnsi="Times New Roman" w:cs="Times New Roman"/>
                <w:sz w:val="24"/>
                <w:szCs w:val="24"/>
              </w:rPr>
              <w:t xml:space="preserve"> 16.37%</w:t>
            </w:r>
            <w:r>
              <w:rPr>
                <w:rFonts w:ascii="Times New Roman" w:hAnsi="Times New Roman" w:cs="Times New Roman"/>
                <w:sz w:val="24"/>
                <w:szCs w:val="24"/>
              </w:rPr>
              <w:t>；</w:t>
            </w:r>
            <w:proofErr w:type="gramStart"/>
            <w:r>
              <w:rPr>
                <w:rFonts w:ascii="Times New Roman" w:hAnsi="Times New Roman" w:cs="Times New Roman"/>
                <w:sz w:val="24"/>
                <w:szCs w:val="24"/>
              </w:rPr>
              <w:t>归母净利润</w:t>
            </w:r>
            <w:proofErr w:type="gramEnd"/>
            <w:r>
              <w:rPr>
                <w:rFonts w:ascii="Times New Roman" w:hAnsi="Times New Roman" w:cs="Times New Roman"/>
                <w:sz w:val="24"/>
                <w:szCs w:val="24"/>
              </w:rPr>
              <w:t xml:space="preserve"> 2741.18 </w:t>
            </w:r>
            <w:r>
              <w:rPr>
                <w:rFonts w:ascii="Times New Roman" w:hAnsi="Times New Roman" w:cs="Times New Roman"/>
                <w:sz w:val="24"/>
                <w:szCs w:val="24"/>
              </w:rPr>
              <w:t>万元，同比下滑</w:t>
            </w:r>
            <w:r>
              <w:rPr>
                <w:rFonts w:ascii="Times New Roman" w:hAnsi="Times New Roman" w:cs="Times New Roman"/>
                <w:sz w:val="24"/>
                <w:szCs w:val="24"/>
              </w:rPr>
              <w:t xml:space="preserve"> 18.42%</w:t>
            </w:r>
            <w:r>
              <w:rPr>
                <w:rFonts w:ascii="Times New Roman" w:hAnsi="Times New Roman" w:cs="Times New Roman"/>
                <w:sz w:val="24"/>
                <w:szCs w:val="24"/>
              </w:rPr>
              <w:t>，</w:t>
            </w:r>
            <w:proofErr w:type="gramStart"/>
            <w:r>
              <w:rPr>
                <w:rFonts w:ascii="Times New Roman" w:hAnsi="Times New Roman" w:cs="Times New Roman"/>
                <w:sz w:val="24"/>
                <w:szCs w:val="24"/>
              </w:rPr>
              <w:t>扣非归母净</w:t>
            </w:r>
            <w:proofErr w:type="gramEnd"/>
            <w:r>
              <w:rPr>
                <w:rFonts w:ascii="Times New Roman" w:hAnsi="Times New Roman" w:cs="Times New Roman"/>
                <w:sz w:val="24"/>
                <w:szCs w:val="24"/>
              </w:rPr>
              <w:t>利润</w:t>
            </w:r>
            <w:r>
              <w:rPr>
                <w:rFonts w:ascii="Times New Roman" w:hAnsi="Times New Roman" w:cs="Times New Roman"/>
                <w:sz w:val="24"/>
                <w:szCs w:val="24"/>
              </w:rPr>
              <w:t xml:space="preserve"> 2329.65 </w:t>
            </w:r>
            <w:r>
              <w:rPr>
                <w:rFonts w:ascii="Times New Roman" w:hAnsi="Times New Roman" w:cs="Times New Roman"/>
                <w:sz w:val="24"/>
                <w:szCs w:val="24"/>
              </w:rPr>
              <w:t>万元，同比增长</w:t>
            </w:r>
            <w:r>
              <w:rPr>
                <w:rFonts w:ascii="Times New Roman" w:hAnsi="Times New Roman" w:cs="Times New Roman"/>
                <w:sz w:val="24"/>
                <w:szCs w:val="24"/>
              </w:rPr>
              <w:t xml:space="preserve"> 38.75%</w:t>
            </w:r>
            <w:r>
              <w:rPr>
                <w:rFonts w:ascii="Times New Roman" w:hAnsi="Times New Roman" w:cs="Times New Roman"/>
                <w:sz w:val="24"/>
                <w:szCs w:val="24"/>
              </w:rPr>
              <w:t>，</w:t>
            </w:r>
            <w:proofErr w:type="gramStart"/>
            <w:r>
              <w:rPr>
                <w:rFonts w:ascii="Times New Roman" w:hAnsi="Times New Roman" w:cs="Times New Roman"/>
                <w:sz w:val="24"/>
                <w:szCs w:val="24"/>
              </w:rPr>
              <w:t>扣非</w:t>
            </w:r>
            <w:r>
              <w:rPr>
                <w:rFonts w:ascii="Times New Roman" w:hAnsi="Times New Roman" w:cs="Times New Roman"/>
                <w:sz w:val="24"/>
                <w:szCs w:val="24"/>
              </w:rPr>
              <w:lastRenderedPageBreak/>
              <w:t>表现</w:t>
            </w:r>
            <w:proofErr w:type="gramEnd"/>
            <w:r>
              <w:rPr>
                <w:rFonts w:ascii="Times New Roman" w:hAnsi="Times New Roman" w:cs="Times New Roman"/>
                <w:sz w:val="24"/>
                <w:szCs w:val="24"/>
              </w:rPr>
              <w:t>向好，归</w:t>
            </w:r>
            <w:proofErr w:type="gramStart"/>
            <w:r>
              <w:rPr>
                <w:rFonts w:ascii="Times New Roman" w:hAnsi="Times New Roman" w:cs="Times New Roman"/>
                <w:sz w:val="24"/>
                <w:szCs w:val="24"/>
              </w:rPr>
              <w:t>母利润</w:t>
            </w:r>
            <w:proofErr w:type="gramEnd"/>
            <w:r>
              <w:rPr>
                <w:rFonts w:ascii="Times New Roman" w:hAnsi="Times New Roman" w:cs="Times New Roman"/>
                <w:sz w:val="24"/>
                <w:szCs w:val="24"/>
              </w:rPr>
              <w:t>波动主要受</w:t>
            </w:r>
            <w:r>
              <w:rPr>
                <w:rFonts w:ascii="Times New Roman" w:hAnsi="Times New Roman" w:cs="Times New Roman" w:hint="eastAsia"/>
                <w:sz w:val="24"/>
                <w:szCs w:val="24"/>
              </w:rPr>
              <w:t>汇率波动影响</w:t>
            </w:r>
            <w:r>
              <w:rPr>
                <w:rFonts w:ascii="Times New Roman" w:hAnsi="Times New Roman" w:cs="Times New Roman"/>
                <w:sz w:val="24"/>
                <w:szCs w:val="24"/>
              </w:rPr>
              <w:t>，装备主业保持稳健，鲜</w:t>
            </w:r>
            <w:proofErr w:type="gramStart"/>
            <w:r>
              <w:rPr>
                <w:rFonts w:ascii="Times New Roman" w:hAnsi="Times New Roman" w:cs="Times New Roman"/>
                <w:sz w:val="24"/>
                <w:szCs w:val="24"/>
              </w:rPr>
              <w:t>啤</w:t>
            </w:r>
            <w:proofErr w:type="gramEnd"/>
            <w:r>
              <w:rPr>
                <w:rFonts w:ascii="Times New Roman" w:hAnsi="Times New Roman" w:cs="Times New Roman"/>
                <w:sz w:val="24"/>
                <w:szCs w:val="24"/>
              </w:rPr>
              <w:t>第二曲线持续推进。</w:t>
            </w:r>
          </w:p>
          <w:p w:rsidR="003C6990" w:rsidRDefault="00D9351F">
            <w:pPr>
              <w:pStyle w:val="a6"/>
              <w:numPr>
                <w:ilvl w:val="0"/>
                <w:numId w:val="1"/>
              </w:numPr>
              <w:spacing w:line="360" w:lineRule="auto"/>
              <w:ind w:firstLineChars="0"/>
              <w:rPr>
                <w:rFonts w:ascii="Times New Roman" w:hAnsi="Times New Roman" w:cs="Times New Roman"/>
                <w:sz w:val="24"/>
                <w:szCs w:val="24"/>
              </w:rPr>
            </w:pPr>
            <w:r>
              <w:rPr>
                <w:rFonts w:ascii="Times New Roman" w:hAnsi="Times New Roman" w:cs="Times New Roman" w:hint="eastAsia"/>
                <w:sz w:val="24"/>
                <w:szCs w:val="24"/>
              </w:rPr>
              <w:t>投资者提问环节</w:t>
            </w:r>
          </w:p>
          <w:p w:rsidR="003C6990" w:rsidRDefault="00D9351F">
            <w:pPr>
              <w:spacing w:line="360" w:lineRule="auto"/>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 xml:space="preserve"> </w:t>
            </w:r>
            <w:r>
              <w:rPr>
                <w:rFonts w:ascii="Times New Roman" w:hAnsi="Times New Roman" w:cs="Times New Roman"/>
                <w:sz w:val="24"/>
                <w:szCs w:val="24"/>
              </w:rPr>
              <w:t>在全球啤酒需求整体偏弱的背景下，公司装备业务仍保持稳健运行，主要来源是什么？</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hint="eastAsia"/>
                <w:sz w:val="24"/>
                <w:szCs w:val="24"/>
              </w:rPr>
              <w:t>公司装备业务以新建酒厂的整厂设备供应为主，售后服务与维修占有一定比重，业务结构与</w:t>
            </w:r>
            <w:proofErr w:type="gramStart"/>
            <w:r>
              <w:rPr>
                <w:rFonts w:ascii="Times New Roman" w:hAnsi="Times New Roman" w:cs="Times New Roman" w:hint="eastAsia"/>
                <w:sz w:val="24"/>
                <w:szCs w:val="24"/>
              </w:rPr>
              <w:t>下游酒企</w:t>
            </w:r>
            <w:proofErr w:type="gramEnd"/>
            <w:r>
              <w:rPr>
                <w:rFonts w:ascii="Times New Roman" w:hAnsi="Times New Roman" w:cs="Times New Roman" w:hint="eastAsia"/>
                <w:sz w:val="24"/>
                <w:szCs w:val="24"/>
              </w:rPr>
              <w:t>的产能投资周期密切相关。</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hint="eastAsia"/>
                <w:sz w:val="24"/>
                <w:szCs w:val="24"/>
              </w:rPr>
              <w:t>市场方面，公司海外市场主要分布在亚非拉等啤酒消费仍具增长空间的新兴市场区域；国内市场中，公司在啤酒装备细分领域深耕多年，客户基础较为稳固。</w:t>
            </w:r>
            <w:proofErr w:type="gramStart"/>
            <w:r>
              <w:rPr>
                <w:rFonts w:ascii="Times New Roman" w:hAnsi="Times New Roman" w:cs="Times New Roman" w:hint="eastAsia"/>
                <w:sz w:val="24"/>
                <w:szCs w:val="24"/>
              </w:rPr>
              <w:t>下游酒企基于</w:t>
            </w:r>
            <w:proofErr w:type="gramEnd"/>
            <w:r>
              <w:rPr>
                <w:rFonts w:ascii="Times New Roman" w:hAnsi="Times New Roman" w:cs="Times New Roman" w:hint="eastAsia"/>
                <w:sz w:val="24"/>
                <w:szCs w:val="24"/>
              </w:rPr>
              <w:t>产能布局调整而进行的老旧工厂关停与新建工厂投资，属于行业内的周期性需求，为公司装备业务提供了持续的市场空间。</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hint="eastAsia"/>
                <w:sz w:val="24"/>
                <w:szCs w:val="24"/>
              </w:rPr>
              <w:t>产品与技术方面，公司持续进行研发投入，推动产品结构升级：自主研发的大型麦汁压滤、啤酒无土过滤等新产品已完成开发并实现交付应用；全冷轧</w:t>
            </w:r>
            <w:proofErr w:type="gramStart"/>
            <w:r>
              <w:rPr>
                <w:rFonts w:ascii="Times New Roman" w:hAnsi="Times New Roman" w:cs="Times New Roman" w:hint="eastAsia"/>
                <w:sz w:val="24"/>
                <w:szCs w:val="24"/>
              </w:rPr>
              <w:t>板大型</w:t>
            </w:r>
            <w:proofErr w:type="gramEnd"/>
            <w:r>
              <w:rPr>
                <w:rFonts w:ascii="Times New Roman" w:hAnsi="Times New Roman" w:cs="Times New Roman" w:hint="eastAsia"/>
                <w:sz w:val="24"/>
                <w:szCs w:val="24"/>
              </w:rPr>
              <w:t>发酵罐产品已实现向海外客户交付，相关新产品的应用有利于提高公司整厂装备的成套交付能力。</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sz w:val="24"/>
                <w:szCs w:val="24"/>
              </w:rPr>
              <w:t>公司通过持续的技术改造投入，制造与交付能力不断提升，装备业务整体保持平稳运行。</w:t>
            </w:r>
          </w:p>
          <w:p w:rsidR="003C6990" w:rsidRDefault="00D9351F">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2. </w:t>
            </w:r>
            <w:r>
              <w:rPr>
                <w:rFonts w:ascii="Times New Roman" w:hAnsi="Times New Roman" w:cs="Times New Roman"/>
                <w:sz w:val="24"/>
                <w:szCs w:val="24"/>
              </w:rPr>
              <w:t>请介绍鲜</w:t>
            </w:r>
            <w:proofErr w:type="gramStart"/>
            <w:r>
              <w:rPr>
                <w:rFonts w:ascii="Times New Roman" w:hAnsi="Times New Roman" w:cs="Times New Roman"/>
                <w:sz w:val="24"/>
                <w:szCs w:val="24"/>
              </w:rPr>
              <w:t>啤</w:t>
            </w:r>
            <w:proofErr w:type="gramEnd"/>
            <w:r>
              <w:rPr>
                <w:rFonts w:ascii="Times New Roman" w:hAnsi="Times New Roman" w:cs="Times New Roman"/>
                <w:sz w:val="24"/>
                <w:szCs w:val="24"/>
              </w:rPr>
              <w:t>业务在行业需求偏淡背景下仍保持增长的原因，以及后续的业务规划。</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hint="eastAsia"/>
                <w:sz w:val="24"/>
                <w:szCs w:val="24"/>
              </w:rPr>
              <w:t>公司鲜</w:t>
            </w:r>
            <w:proofErr w:type="gramStart"/>
            <w:r>
              <w:rPr>
                <w:rFonts w:ascii="Times New Roman" w:hAnsi="Times New Roman" w:cs="Times New Roman" w:hint="eastAsia"/>
                <w:sz w:val="24"/>
                <w:szCs w:val="24"/>
              </w:rPr>
              <w:t>啤</w:t>
            </w:r>
            <w:proofErr w:type="gramEnd"/>
            <w:r>
              <w:rPr>
                <w:rFonts w:ascii="Times New Roman" w:hAnsi="Times New Roman" w:cs="Times New Roman" w:hint="eastAsia"/>
                <w:sz w:val="24"/>
                <w:szCs w:val="24"/>
              </w:rPr>
              <w:t>业务保持增长，主要基于三方面：一是业务基数相对较低，仍有较大的市场拓展空间；二是经过多年运营积累，公司在产品定位、工厂布局与渠道拓展方面形成了较为成熟的运营方法；三是团队经过持续磨合与优化，业务运行的组织能力逐步提升。</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hint="eastAsia"/>
                <w:sz w:val="24"/>
                <w:szCs w:val="24"/>
              </w:rPr>
              <w:t>在考核导向上，公司对各业务板块不单纯以规模为考</w:t>
            </w:r>
            <w:r>
              <w:rPr>
                <w:rFonts w:ascii="Times New Roman" w:hAnsi="Times New Roman" w:cs="Times New Roman" w:hint="eastAsia"/>
                <w:sz w:val="24"/>
                <w:szCs w:val="24"/>
              </w:rPr>
              <w:lastRenderedPageBreak/>
              <w:t>核目标，而是兼顾盈利水平与经营质量目标，在业务健康的前提下谋求稳定增长。</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hint="eastAsia"/>
                <w:sz w:val="24"/>
                <w:szCs w:val="24"/>
              </w:rPr>
              <w:t>在渠道策略上，公司聚焦动销良好、回款稳定的优质渠道，对不同类型渠道实行差异化的信用政策，并持续加强应收账款管理。后续增长将同时来自</w:t>
            </w:r>
            <w:r w:rsidR="00C53DE7">
              <w:rPr>
                <w:rFonts w:ascii="Times New Roman" w:hAnsi="Times New Roman" w:cs="Times New Roman" w:hint="eastAsia"/>
                <w:sz w:val="24"/>
                <w:szCs w:val="24"/>
              </w:rPr>
              <w:t>现</w:t>
            </w:r>
            <w:r>
              <w:rPr>
                <w:rFonts w:ascii="Times New Roman" w:hAnsi="Times New Roman" w:cs="Times New Roman" w:hint="eastAsia"/>
                <w:sz w:val="24"/>
                <w:szCs w:val="24"/>
              </w:rPr>
              <w:t>有渠道的稳步放量与新渠道的有序拓展。</w:t>
            </w:r>
            <w:r>
              <w:rPr>
                <w:rFonts w:ascii="Times New Roman" w:hAnsi="Times New Roman" w:cs="Times New Roman"/>
                <w:sz w:val="24"/>
                <w:szCs w:val="24"/>
              </w:rPr>
              <w:t>在产品与渠道推广方面，公司将结合市场需求有序推进相关工作</w:t>
            </w:r>
            <w:r>
              <w:rPr>
                <w:rFonts w:ascii="Times New Roman" w:hAnsi="Times New Roman" w:cs="Times New Roman" w:hint="eastAsia"/>
                <w:sz w:val="24"/>
                <w:szCs w:val="24"/>
              </w:rPr>
              <w:t>。</w:t>
            </w:r>
          </w:p>
          <w:p w:rsidR="003C6990" w:rsidRDefault="00D9351F">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3. </w:t>
            </w:r>
            <w:r>
              <w:rPr>
                <w:rFonts w:ascii="Times New Roman" w:hAnsi="Times New Roman" w:cs="Times New Roman"/>
                <w:sz w:val="24"/>
                <w:szCs w:val="24"/>
              </w:rPr>
              <w:t>请介绍传统装备业务的付款方式，以及应收账款的风险管控措施。</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hint="eastAsia"/>
                <w:sz w:val="24"/>
                <w:szCs w:val="24"/>
              </w:rPr>
              <w:t>公司根据客户类型、合作历史与订单规模，对客户实行分级信用管理，并在合同中明确付款节点与结算条件，从合同源头控制回款风险。对于海外客户，公司依据合同约定与客户资信情况采取相应的结算方式。</w:t>
            </w:r>
          </w:p>
          <w:p w:rsidR="003C6990" w:rsidRDefault="00D9351F">
            <w:pPr>
              <w:spacing w:line="360" w:lineRule="auto"/>
              <w:ind w:firstLineChars="175" w:firstLine="420"/>
              <w:rPr>
                <w:rFonts w:ascii="Times New Roman" w:hAnsi="Times New Roman" w:cs="Times New Roman"/>
                <w:sz w:val="24"/>
                <w:szCs w:val="24"/>
              </w:rPr>
            </w:pPr>
            <w:proofErr w:type="gramStart"/>
            <w:r>
              <w:rPr>
                <w:rFonts w:ascii="Times New Roman" w:hAnsi="Times New Roman" w:cs="Times New Roman" w:hint="eastAsia"/>
                <w:sz w:val="24"/>
                <w:szCs w:val="24"/>
              </w:rPr>
              <w:t>对于长账龄</w:t>
            </w:r>
            <w:proofErr w:type="gramEnd"/>
            <w:r>
              <w:rPr>
                <w:rFonts w:ascii="Times New Roman" w:hAnsi="Times New Roman" w:cs="Times New Roman" w:hint="eastAsia"/>
                <w:sz w:val="24"/>
                <w:szCs w:val="24"/>
              </w:rPr>
              <w:t>应收款项，公司安排专人持续跟进，通过协商、催收等多种方式推进款项回收，并在新签订单中持续提升合同质量与回款条件。随着长周期订单的逐步执行与新签订单质量的严格把控，</w:t>
            </w:r>
            <w:r>
              <w:rPr>
                <w:rFonts w:ascii="Times New Roman" w:hAnsi="Times New Roman" w:cs="Times New Roman"/>
                <w:sz w:val="24"/>
                <w:szCs w:val="24"/>
              </w:rPr>
              <w:t>公司将在后续经营中持续完善客户信用管理工作</w:t>
            </w:r>
            <w:r>
              <w:rPr>
                <w:rFonts w:ascii="Times New Roman" w:hAnsi="Times New Roman" w:cs="Times New Roman" w:hint="eastAsia"/>
                <w:sz w:val="24"/>
                <w:szCs w:val="24"/>
              </w:rPr>
              <w:t>。</w:t>
            </w:r>
          </w:p>
          <w:p w:rsidR="003C6990" w:rsidRDefault="00D9351F">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4.  </w:t>
            </w:r>
            <w:r>
              <w:rPr>
                <w:rFonts w:ascii="Times New Roman" w:hAnsi="Times New Roman" w:cs="Times New Roman"/>
                <w:sz w:val="24"/>
                <w:szCs w:val="24"/>
              </w:rPr>
              <w:t>请介绍公司对精酿鲜</w:t>
            </w:r>
            <w:proofErr w:type="gramStart"/>
            <w:r>
              <w:rPr>
                <w:rFonts w:ascii="Times New Roman" w:hAnsi="Times New Roman" w:cs="Times New Roman"/>
                <w:sz w:val="24"/>
                <w:szCs w:val="24"/>
              </w:rPr>
              <w:t>啤</w:t>
            </w:r>
            <w:proofErr w:type="gramEnd"/>
            <w:r>
              <w:rPr>
                <w:rFonts w:ascii="Times New Roman" w:hAnsi="Times New Roman" w:cs="Times New Roman"/>
                <w:sz w:val="24"/>
                <w:szCs w:val="24"/>
              </w:rPr>
              <w:t>赛道前景的看法，以及产品创新与新品研发的进展。</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sz w:val="24"/>
                <w:szCs w:val="24"/>
              </w:rPr>
              <w:t>精酿鲜</w:t>
            </w:r>
            <w:proofErr w:type="gramStart"/>
            <w:r>
              <w:rPr>
                <w:rFonts w:ascii="Times New Roman" w:hAnsi="Times New Roman" w:cs="Times New Roman"/>
                <w:sz w:val="24"/>
                <w:szCs w:val="24"/>
              </w:rPr>
              <w:t>啤</w:t>
            </w:r>
            <w:proofErr w:type="gramEnd"/>
            <w:r>
              <w:rPr>
                <w:rFonts w:ascii="Times New Roman" w:hAnsi="Times New Roman" w:cs="Times New Roman"/>
                <w:sz w:val="24"/>
                <w:szCs w:val="24"/>
              </w:rPr>
              <w:t>是啤酒行业中一个新兴的细分品类。我们认为，更多行业参与者进入该品类，有助于消费者认知的普及，有利于品类整体规模的扩大。公司是国内较早布局精酿鲜</w:t>
            </w:r>
            <w:proofErr w:type="gramStart"/>
            <w:r>
              <w:rPr>
                <w:rFonts w:ascii="Times New Roman" w:hAnsi="Times New Roman" w:cs="Times New Roman"/>
                <w:sz w:val="24"/>
                <w:szCs w:val="24"/>
              </w:rPr>
              <w:t>啤</w:t>
            </w:r>
            <w:proofErr w:type="gramEnd"/>
            <w:r>
              <w:rPr>
                <w:rFonts w:ascii="Times New Roman" w:hAnsi="Times New Roman" w:cs="Times New Roman"/>
                <w:sz w:val="24"/>
                <w:szCs w:val="24"/>
              </w:rPr>
              <w:t>赛道的企业之一，在产品、工艺与装备方面积累了相应的经验。</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hint="eastAsia"/>
                <w:sz w:val="24"/>
                <w:szCs w:val="24"/>
              </w:rPr>
              <w:t>在产品研发方面，公司酿酒师团队主要从两个方向推进：</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hint="eastAsia"/>
                <w:sz w:val="24"/>
                <w:szCs w:val="24"/>
              </w:rPr>
              <w:t>一是口味方向，开发了酒精度相对较低、口味偏甜的果味啤酒系列，以原果汁与小麦基酒进行科学配比，以适</w:t>
            </w:r>
            <w:r>
              <w:rPr>
                <w:rFonts w:ascii="Times New Roman" w:hAnsi="Times New Roman" w:cs="Times New Roman" w:hint="eastAsia"/>
                <w:sz w:val="24"/>
                <w:szCs w:val="24"/>
              </w:rPr>
              <w:lastRenderedPageBreak/>
              <w:t>配年轻及女性消费群体的需求；</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hint="eastAsia"/>
                <w:sz w:val="24"/>
                <w:szCs w:val="24"/>
              </w:rPr>
              <w:t>二是工艺方向，公司推出采用低温渗透膜过滤工艺的无醇啤酒，通过膜过滤工艺在去除酒精的同时保留风味物质。相关产品在</w:t>
            </w:r>
            <w:r>
              <w:rPr>
                <w:rFonts w:ascii="Times New Roman" w:hAnsi="Times New Roman" w:cs="Times New Roman" w:hint="eastAsia"/>
                <w:sz w:val="24"/>
                <w:szCs w:val="24"/>
              </w:rPr>
              <w:t>2026</w:t>
            </w:r>
            <w:r>
              <w:rPr>
                <w:rFonts w:ascii="Times New Roman" w:hAnsi="Times New Roman" w:cs="Times New Roman" w:hint="eastAsia"/>
                <w:sz w:val="24"/>
                <w:szCs w:val="24"/>
              </w:rPr>
              <w:t>美国啤酒世界杯、</w:t>
            </w:r>
            <w:r>
              <w:rPr>
                <w:rFonts w:ascii="Times New Roman" w:hAnsi="Times New Roman" w:cs="Times New Roman" w:hint="eastAsia"/>
                <w:sz w:val="24"/>
                <w:szCs w:val="24"/>
              </w:rPr>
              <w:t>2026</w:t>
            </w:r>
            <w:r>
              <w:rPr>
                <w:rFonts w:ascii="Times New Roman" w:hAnsi="Times New Roman" w:cs="Times New Roman" w:hint="eastAsia"/>
                <w:sz w:val="24"/>
                <w:szCs w:val="24"/>
              </w:rPr>
              <w:t>世界啤酒大奖赛、</w:t>
            </w:r>
            <w:r>
              <w:rPr>
                <w:rFonts w:ascii="Times New Roman" w:hAnsi="Times New Roman" w:cs="Times New Roman" w:hint="eastAsia"/>
                <w:sz w:val="24"/>
                <w:szCs w:val="24"/>
              </w:rPr>
              <w:t>2026</w:t>
            </w:r>
            <w:r>
              <w:rPr>
                <w:rFonts w:ascii="Times New Roman" w:hAnsi="Times New Roman" w:cs="Times New Roman" w:hint="eastAsia"/>
                <w:sz w:val="24"/>
                <w:szCs w:val="24"/>
              </w:rPr>
              <w:t>澳洲啤酒大奖赛和</w:t>
            </w:r>
            <w:r>
              <w:rPr>
                <w:rFonts w:ascii="Times New Roman" w:hAnsi="Times New Roman" w:cs="Times New Roman" w:hint="eastAsia"/>
                <w:sz w:val="24"/>
                <w:szCs w:val="24"/>
              </w:rPr>
              <w:t>2026</w:t>
            </w:r>
            <w:r>
              <w:rPr>
                <w:rFonts w:ascii="Times New Roman" w:hAnsi="Times New Roman" w:cs="Times New Roman" w:hint="eastAsia"/>
                <w:sz w:val="24"/>
                <w:szCs w:val="24"/>
              </w:rPr>
              <w:t>国际啤酒杯中获得金奖。</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hint="eastAsia"/>
                <w:sz w:val="24"/>
                <w:szCs w:val="24"/>
              </w:rPr>
              <w:t>公司同时具备装备制造与酿造工艺两方面的能力，为产品创新与工艺改进提供了相应支撑。</w:t>
            </w:r>
          </w:p>
          <w:p w:rsidR="003C6990" w:rsidRDefault="00D9351F">
            <w:pPr>
              <w:spacing w:line="360" w:lineRule="auto"/>
              <w:rPr>
                <w:rFonts w:ascii="Times New Roman" w:hAnsi="Times New Roman" w:cs="Times New Roman"/>
                <w:sz w:val="24"/>
                <w:szCs w:val="24"/>
              </w:rPr>
            </w:pPr>
            <w:r>
              <w:rPr>
                <w:rFonts w:ascii="Times New Roman" w:hAnsi="Times New Roman" w:cs="Times New Roman" w:hint="eastAsia"/>
                <w:sz w:val="24"/>
                <w:szCs w:val="24"/>
              </w:rPr>
              <w:t xml:space="preserve">5. </w:t>
            </w:r>
            <w:r>
              <w:rPr>
                <w:rFonts w:ascii="Times New Roman" w:hAnsi="Times New Roman" w:cs="Times New Roman"/>
                <w:sz w:val="24"/>
                <w:szCs w:val="24"/>
              </w:rPr>
              <w:t>请介绍公司小酒馆业务</w:t>
            </w:r>
            <w:proofErr w:type="gramStart"/>
            <w:r>
              <w:rPr>
                <w:rFonts w:ascii="Times New Roman" w:hAnsi="Times New Roman" w:cs="Times New Roman"/>
                <w:sz w:val="24"/>
                <w:szCs w:val="24"/>
              </w:rPr>
              <w:t>的展店策略</w:t>
            </w:r>
            <w:proofErr w:type="gramEnd"/>
            <w:r>
              <w:rPr>
                <w:rFonts w:ascii="Times New Roman" w:hAnsi="Times New Roman" w:cs="Times New Roman"/>
                <w:sz w:val="24"/>
                <w:szCs w:val="24"/>
              </w:rPr>
              <w:t>与经营质量方面的</w:t>
            </w:r>
            <w:proofErr w:type="gramStart"/>
            <w:r>
              <w:rPr>
                <w:rFonts w:ascii="Times New Roman" w:hAnsi="Times New Roman" w:cs="Times New Roman"/>
                <w:sz w:val="24"/>
                <w:szCs w:val="24"/>
              </w:rPr>
              <w:t>考量</w:t>
            </w:r>
            <w:proofErr w:type="gramEnd"/>
            <w:r>
              <w:rPr>
                <w:rFonts w:ascii="Times New Roman" w:hAnsi="Times New Roman" w:cs="Times New Roman"/>
                <w:sz w:val="24"/>
                <w:szCs w:val="24"/>
              </w:rPr>
              <w:t>。</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hint="eastAsia"/>
                <w:sz w:val="24"/>
                <w:szCs w:val="24"/>
              </w:rPr>
              <w:t>在小酒馆业态上，公司坚持质量优先、审慎拓展的原则，不单纯追求门店数量的增长。门店拓展不仅取决于合作方的拓展情况，更取决于优质店位的获取，以及门店经营者是否具备长期经营的能力与意愿。</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hint="eastAsia"/>
                <w:sz w:val="24"/>
                <w:szCs w:val="24"/>
              </w:rPr>
              <w:t>在经营质量上，公司关注门店的持续经营能力，通过社区化运营、门店服务与顾客互动，提升单店的经营水平。</w:t>
            </w:r>
          </w:p>
          <w:p w:rsidR="003C6990" w:rsidRDefault="00D9351F">
            <w:pPr>
              <w:spacing w:line="360" w:lineRule="auto"/>
              <w:ind w:firstLineChars="175" w:firstLine="420"/>
              <w:rPr>
                <w:rFonts w:ascii="Times New Roman" w:hAnsi="Times New Roman" w:cs="Times New Roman"/>
                <w:sz w:val="24"/>
                <w:szCs w:val="24"/>
              </w:rPr>
            </w:pPr>
            <w:r>
              <w:rPr>
                <w:rFonts w:ascii="Times New Roman" w:hAnsi="Times New Roman" w:cs="Times New Roman" w:hint="eastAsia"/>
                <w:sz w:val="24"/>
                <w:szCs w:val="24"/>
              </w:rPr>
              <w:t>公司认为，小酒馆</w:t>
            </w:r>
            <w:proofErr w:type="gramStart"/>
            <w:r>
              <w:rPr>
                <w:rFonts w:ascii="Times New Roman" w:hAnsi="Times New Roman" w:cs="Times New Roman" w:hint="eastAsia"/>
                <w:sz w:val="24"/>
                <w:szCs w:val="24"/>
              </w:rPr>
              <w:t>作为品销一体化</w:t>
            </w:r>
            <w:proofErr w:type="gramEnd"/>
            <w:r>
              <w:rPr>
                <w:rFonts w:ascii="Times New Roman" w:hAnsi="Times New Roman" w:cs="Times New Roman" w:hint="eastAsia"/>
                <w:sz w:val="24"/>
                <w:szCs w:val="24"/>
              </w:rPr>
              <w:t>的终端渠道，其核心价值在于形成可持续、具备盈利能力的终端网络。</w:t>
            </w:r>
          </w:p>
        </w:tc>
      </w:tr>
      <w:tr w:rsidR="003C6990">
        <w:trPr>
          <w:trHeight w:val="548"/>
        </w:trPr>
        <w:tc>
          <w:tcPr>
            <w:tcW w:w="2263" w:type="dxa"/>
            <w:vAlign w:val="center"/>
          </w:tcPr>
          <w:p w:rsidR="003C6990" w:rsidRDefault="00D9351F">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附件清单（如有）</w:t>
            </w:r>
          </w:p>
        </w:tc>
        <w:tc>
          <w:tcPr>
            <w:tcW w:w="6212" w:type="dxa"/>
          </w:tcPr>
          <w:p w:rsidR="003C6990" w:rsidRDefault="00D9351F">
            <w:pPr>
              <w:spacing w:line="360" w:lineRule="auto"/>
              <w:rPr>
                <w:rFonts w:ascii="Times New Roman" w:hAnsi="Times New Roman" w:cs="Times New Roman"/>
                <w:sz w:val="24"/>
                <w:szCs w:val="24"/>
              </w:rPr>
            </w:pPr>
            <w:r>
              <w:rPr>
                <w:rFonts w:ascii="Times New Roman" w:hAnsi="Times New Roman" w:cs="Times New Roman" w:hint="eastAsia"/>
                <w:sz w:val="24"/>
                <w:szCs w:val="24"/>
              </w:rPr>
              <w:t>无</w:t>
            </w:r>
          </w:p>
        </w:tc>
      </w:tr>
      <w:tr w:rsidR="003C6990">
        <w:trPr>
          <w:trHeight w:val="546"/>
        </w:trPr>
        <w:tc>
          <w:tcPr>
            <w:tcW w:w="2263" w:type="dxa"/>
            <w:vAlign w:val="center"/>
          </w:tcPr>
          <w:p w:rsidR="003C6990" w:rsidRDefault="00D9351F">
            <w:pPr>
              <w:spacing w:line="360" w:lineRule="auto"/>
              <w:jc w:val="center"/>
              <w:rPr>
                <w:rFonts w:ascii="Times New Roman" w:hAnsi="Times New Roman" w:cs="Times New Roman"/>
                <w:b/>
                <w:sz w:val="24"/>
                <w:szCs w:val="24"/>
              </w:rPr>
            </w:pPr>
            <w:r>
              <w:rPr>
                <w:rFonts w:ascii="Times New Roman" w:hAnsi="Times New Roman" w:cs="Times New Roman" w:hint="eastAsia"/>
                <w:b/>
                <w:sz w:val="24"/>
                <w:szCs w:val="24"/>
              </w:rPr>
              <w:t>关于本次活动是否涉及应披露重大信息的说明</w:t>
            </w:r>
          </w:p>
        </w:tc>
        <w:tc>
          <w:tcPr>
            <w:tcW w:w="6212" w:type="dxa"/>
          </w:tcPr>
          <w:p w:rsidR="003C6990" w:rsidRDefault="00D9351F">
            <w:pPr>
              <w:spacing w:line="360" w:lineRule="auto"/>
              <w:rPr>
                <w:rFonts w:ascii="Times New Roman" w:hAnsi="Times New Roman" w:cs="Times New Roman"/>
                <w:sz w:val="24"/>
                <w:szCs w:val="24"/>
              </w:rPr>
            </w:pPr>
            <w:r>
              <w:rPr>
                <w:rFonts w:ascii="Times New Roman" w:hAnsi="Times New Roman" w:cs="Times New Roman" w:hint="eastAsia"/>
                <w:sz w:val="24"/>
                <w:szCs w:val="24"/>
              </w:rPr>
              <w:t>否</w:t>
            </w:r>
          </w:p>
        </w:tc>
      </w:tr>
    </w:tbl>
    <w:p w:rsidR="003C6990" w:rsidRDefault="003C6990">
      <w:pPr>
        <w:rPr>
          <w:rFonts w:ascii="Times New Roman" w:hAnsi="Times New Roman" w:cs="Times New Roman"/>
        </w:rPr>
      </w:pPr>
    </w:p>
    <w:sectPr w:rsidR="003C6990">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0F1" w:rsidRDefault="00B950F1">
      <w:r>
        <w:separator/>
      </w:r>
    </w:p>
  </w:endnote>
  <w:endnote w:type="continuationSeparator" w:id="0">
    <w:p w:rsidR="00B950F1" w:rsidRDefault="00B95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0F1" w:rsidRDefault="00B950F1">
      <w:r>
        <w:separator/>
      </w:r>
    </w:p>
  </w:footnote>
  <w:footnote w:type="continuationSeparator" w:id="0">
    <w:p w:rsidR="00B950F1" w:rsidRDefault="00B950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6990" w:rsidRDefault="00D9351F">
    <w:pPr>
      <w:pStyle w:val="a4"/>
    </w:pPr>
    <w:r>
      <w:rPr>
        <w:rFonts w:ascii="Calibri" w:eastAsia="宋体" w:hAnsi="Calibri" w:cs="Times New Roman"/>
        <w:noProof/>
        <w:sz w:val="21"/>
        <w:szCs w:val="22"/>
      </w:rPr>
      <w:drawing>
        <wp:inline distT="0" distB="0" distL="0" distR="0">
          <wp:extent cx="838200" cy="266700"/>
          <wp:effectExtent l="0" t="0" r="0" b="0"/>
          <wp:docPr id="1" name="图片 1" descr="说明: clip_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clip_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38200" cy="266700"/>
                  </a:xfrm>
                  <a:prstGeom prst="rect">
                    <a:avLst/>
                  </a:prstGeom>
                  <a:noFill/>
                  <a:ln>
                    <a:noFill/>
                  </a:ln>
                </pic:spPr>
              </pic:pic>
            </a:graphicData>
          </a:graphic>
        </wp:inline>
      </w:drawing>
    </w:r>
    <w:r>
      <w:rPr>
        <w:rFonts w:ascii="黑体" w:eastAsia="黑体" w:hAnsi="黑体" w:cs="Times New Roman" w:hint="eastAsia"/>
        <w:sz w:val="21"/>
        <w:szCs w:val="22"/>
      </w:rPr>
      <w:t xml:space="preserve"> </w:t>
    </w:r>
    <w:r>
      <w:rPr>
        <w:rFonts w:ascii="黑体" w:eastAsia="黑体" w:hAnsi="黑体" w:cs="Times New Roman"/>
        <w:sz w:val="21"/>
        <w:szCs w:val="22"/>
      </w:rPr>
      <w:t xml:space="preserve">         </w:t>
    </w:r>
    <w:r>
      <w:rPr>
        <w:rFonts w:ascii="黑体" w:eastAsia="黑体" w:hAnsi="黑体" w:cs="Times New Roman" w:hint="eastAsia"/>
        <w:sz w:val="21"/>
        <w:szCs w:val="22"/>
      </w:rPr>
      <w:t xml:space="preserve">   </w:t>
    </w:r>
    <w:r>
      <w:rPr>
        <w:rFonts w:ascii="黑体" w:eastAsia="黑体" w:hAnsi="黑体" w:cs="Times New Roman"/>
        <w:sz w:val="21"/>
        <w:szCs w:val="22"/>
      </w:rPr>
      <w:t xml:space="preserve"> </w:t>
    </w:r>
    <w:r>
      <w:rPr>
        <w:rFonts w:ascii="黑体" w:eastAsia="黑体" w:hAnsi="黑体" w:cs="Times New Roman" w:hint="eastAsia"/>
        <w:sz w:val="21"/>
        <w:szCs w:val="22"/>
      </w:rPr>
      <w:t xml:space="preserve">  证券代码：</w:t>
    </w:r>
    <w:r>
      <w:rPr>
        <w:rFonts w:ascii="Times New Roman" w:eastAsia="黑体" w:hAnsi="Times New Roman" w:cs="Times New Roman"/>
        <w:sz w:val="21"/>
        <w:szCs w:val="22"/>
      </w:rPr>
      <w:t>603076</w:t>
    </w:r>
    <w:r>
      <w:rPr>
        <w:rFonts w:ascii="黑体" w:eastAsia="黑体" w:hAnsi="黑体" w:cs="Times New Roman"/>
        <w:sz w:val="21"/>
        <w:szCs w:val="22"/>
      </w:rPr>
      <w:t xml:space="preserve">               </w:t>
    </w:r>
    <w:r>
      <w:rPr>
        <w:rFonts w:ascii="黑体" w:eastAsia="黑体" w:hAnsi="黑体" w:cs="Times New Roman" w:hint="eastAsia"/>
        <w:sz w:val="21"/>
        <w:szCs w:val="22"/>
      </w:rPr>
      <w:t>证券简称：乐惠国际</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C702929"/>
    <w:multiLevelType w:val="multilevel"/>
    <w:tmpl w:val="7C702929"/>
    <w:lvl w:ilvl="0">
      <w:start w:val="1"/>
      <w:numFmt w:val="japaneseCounting"/>
      <w:lvlText w:val="%1、"/>
      <w:lvlJc w:val="left"/>
      <w:pPr>
        <w:ind w:left="480" w:hanging="48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03D"/>
    <w:rsid w:val="0008203D"/>
    <w:rsid w:val="000E4B2D"/>
    <w:rsid w:val="00141B48"/>
    <w:rsid w:val="001B6F6A"/>
    <w:rsid w:val="001D5CA7"/>
    <w:rsid w:val="00271CC6"/>
    <w:rsid w:val="002C7D57"/>
    <w:rsid w:val="003C6990"/>
    <w:rsid w:val="00403154"/>
    <w:rsid w:val="00405427"/>
    <w:rsid w:val="00484097"/>
    <w:rsid w:val="004B05CE"/>
    <w:rsid w:val="004C1686"/>
    <w:rsid w:val="00502124"/>
    <w:rsid w:val="00544039"/>
    <w:rsid w:val="005E78F5"/>
    <w:rsid w:val="00601AD7"/>
    <w:rsid w:val="007A13A0"/>
    <w:rsid w:val="007B37A7"/>
    <w:rsid w:val="00834E0E"/>
    <w:rsid w:val="00862652"/>
    <w:rsid w:val="008647E4"/>
    <w:rsid w:val="00A0098E"/>
    <w:rsid w:val="00AB2F86"/>
    <w:rsid w:val="00B5677C"/>
    <w:rsid w:val="00B934B8"/>
    <w:rsid w:val="00B950F1"/>
    <w:rsid w:val="00C24885"/>
    <w:rsid w:val="00C53DE7"/>
    <w:rsid w:val="00C91FC1"/>
    <w:rsid w:val="00C9263B"/>
    <w:rsid w:val="00CB7EE8"/>
    <w:rsid w:val="00D53BF4"/>
    <w:rsid w:val="00D9351F"/>
    <w:rsid w:val="00E6282E"/>
    <w:rsid w:val="00E779AD"/>
    <w:rsid w:val="5137118B"/>
    <w:rsid w:val="679B1D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D653567-A0D7-476F-9BD0-0F3541FE2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页眉 Char"/>
    <w:basedOn w:val="a0"/>
    <w:link w:val="a4"/>
    <w:uiPriority w:val="99"/>
    <w:rPr>
      <w:sz w:val="18"/>
      <w:szCs w:val="18"/>
    </w:rPr>
  </w:style>
  <w:style w:type="character" w:customStyle="1" w:styleId="Char">
    <w:name w:val="页脚 Char"/>
    <w:basedOn w:val="a0"/>
    <w:link w:val="a3"/>
    <w:uiPriority w:val="99"/>
    <w:qFormat/>
    <w:rPr>
      <w:sz w:val="18"/>
      <w:szCs w:val="18"/>
    </w:rPr>
  </w:style>
  <w:style w:type="paragraph" w:styleId="a6">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4</Pages>
  <Words>338</Words>
  <Characters>1931</Characters>
  <Application>Microsoft Office Word</Application>
  <DocSecurity>0</DocSecurity>
  <Lines>16</Lines>
  <Paragraphs>4</Paragraphs>
  <ScaleCrop>false</ScaleCrop>
  <Company>Microsoft</Company>
  <LinksUpToDate>false</LinksUpToDate>
  <CharactersWithSpaces>2265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LH法务部</dc:creator>
  <cp:lastModifiedBy>胡海云</cp:lastModifiedBy>
  <cp:revision>8</cp:revision>
  <dcterms:created xsi:type="dcterms:W3CDTF">2026-11-02T13:22:00Z</dcterms:created>
  <dcterms:modified xsi:type="dcterms:W3CDTF">2026-11-03T03:25:00Z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eyJoZGlkIjoiZTE1ZGE3MjRmZTYzNTIyMjhiZmY5NTM3MzExYjI5YWMiLCJ1c2VySWQiOiI2NzEwNTE2ODcifQ==</vt:lpwstr>
  </property>
  <property fmtid="{D5CDD505-2E9C-101B-9397-08002B2CF9AE}" pid="3" name="KSOProductBuildVer">
    <vt:lpwstr>2052-12.1.0.28505</vt:lpwstr>
  </property>
  <property fmtid="{D5CDD505-2E9C-101B-9397-08002B2CF9AE}" pid="4" name="ICV">
    <vt:lpwstr>98CB982981394E70A137E9782CAE0DD4_13</vt:lpwstr>
  </property>
</Properties>
</file>