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D10AFD">
      <w:pPr>
        <w:keepNext/>
        <w:keepLines/>
        <w:spacing w:before="260" w:after="260" w:line="360" w:lineRule="auto"/>
        <w:jc w:val="center"/>
        <w:outlineLvl w:val="1"/>
        <w:rPr>
          <w:rFonts w:ascii="Times New Roman" w:hAnsi="Times New Roman" w:eastAsia="宋体" w:cs="Times New Roman"/>
          <w:b/>
          <w:bCs/>
          <w:iCs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iCs/>
          <w:sz w:val="24"/>
          <w:szCs w:val="24"/>
        </w:rPr>
        <w:t>证券代码：688702                            证券简称：盛科通信</w:t>
      </w:r>
    </w:p>
    <w:p w14:paraId="2F9F642D">
      <w:pPr>
        <w:keepNext/>
        <w:keepLines/>
        <w:spacing w:before="156" w:beforeLines="50" w:after="156" w:afterLines="50" w:line="360" w:lineRule="auto"/>
        <w:jc w:val="center"/>
        <w:outlineLvl w:val="1"/>
        <w:rPr>
          <w:rFonts w:ascii="Times New Roman" w:hAnsi="Times New Roman" w:eastAsia="宋体" w:cs="Times New Roman"/>
          <w:b/>
          <w:bCs/>
          <w:sz w:val="32"/>
          <w:szCs w:val="32"/>
        </w:rPr>
      </w:pPr>
      <w:r>
        <w:rPr>
          <w:rFonts w:ascii="Times New Roman" w:hAnsi="Times New Roman" w:eastAsia="宋体" w:cs="Times New Roman"/>
          <w:b/>
          <w:bCs/>
          <w:sz w:val="32"/>
          <w:szCs w:val="32"/>
        </w:rPr>
        <w:t>苏州盛科通信股份有限公司</w:t>
      </w:r>
    </w:p>
    <w:p w14:paraId="10D2EB24">
      <w:pPr>
        <w:keepNext/>
        <w:keepLines/>
        <w:spacing w:before="156" w:beforeLines="50" w:after="156" w:afterLines="50" w:line="360" w:lineRule="auto"/>
        <w:jc w:val="center"/>
        <w:outlineLvl w:val="1"/>
        <w:rPr>
          <w:rFonts w:ascii="Times New Roman" w:hAnsi="Times New Roman" w:eastAsia="宋体" w:cs="Times New Roman"/>
          <w:b/>
          <w:bCs/>
          <w:sz w:val="32"/>
          <w:szCs w:val="32"/>
        </w:rPr>
      </w:pPr>
      <w:r>
        <w:rPr>
          <w:rFonts w:ascii="Times New Roman" w:hAnsi="Times New Roman" w:eastAsia="宋体" w:cs="Times New Roman"/>
          <w:b/>
          <w:bCs/>
          <w:sz w:val="32"/>
          <w:szCs w:val="32"/>
        </w:rPr>
        <w:t>投资者关系活动记录表</w:t>
      </w:r>
    </w:p>
    <w:p w14:paraId="069380EC">
      <w:pPr>
        <w:keepNext/>
        <w:keepLines/>
        <w:spacing w:before="260" w:after="260" w:line="360" w:lineRule="auto"/>
        <w:jc w:val="left"/>
        <w:outlineLvl w:val="1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</w:rPr>
        <w:t>编号：202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6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-00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3</w:t>
      </w:r>
    </w:p>
    <w:tbl>
      <w:tblPr>
        <w:tblStyle w:val="7"/>
        <w:tblW w:w="0" w:type="auto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8"/>
        <w:gridCol w:w="5812"/>
      </w:tblGrid>
      <w:tr w14:paraId="11953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8" w:type="dxa"/>
            <w:vAlign w:val="center"/>
          </w:tcPr>
          <w:p w14:paraId="63C5A417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Cs/>
                <w:sz w:val="24"/>
                <w:szCs w:val="24"/>
              </w:rPr>
              <w:t>投资者关系活动类别</w:t>
            </w:r>
          </w:p>
        </w:tc>
        <w:tc>
          <w:tcPr>
            <w:tcW w:w="5812" w:type="dxa"/>
          </w:tcPr>
          <w:p w14:paraId="3034F5B3">
            <w:pPr>
              <w:spacing w:line="360" w:lineRule="auto"/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t>□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特定对象调研        </w:t>
            </w: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t>□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分析师会议</w:t>
            </w:r>
          </w:p>
          <w:p w14:paraId="7AC2AAB7">
            <w:pPr>
              <w:spacing w:line="360" w:lineRule="auto"/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t>□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媒体采访        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√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业绩说明会</w:t>
            </w:r>
          </w:p>
          <w:p w14:paraId="191C34C1">
            <w:pPr>
              <w:spacing w:line="360" w:lineRule="auto"/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t>□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新闻发布会          </w:t>
            </w: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t>□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路演活动</w:t>
            </w:r>
          </w:p>
          <w:p w14:paraId="6A2096C5">
            <w:pPr>
              <w:tabs>
                <w:tab w:val="left" w:pos="2690"/>
                <w:tab w:val="center" w:pos="3199"/>
              </w:tabs>
              <w:spacing w:line="360" w:lineRule="auto"/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t>□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现场参观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       □电话会议</w:t>
            </w:r>
          </w:p>
          <w:p w14:paraId="7F44E86B">
            <w:pPr>
              <w:tabs>
                <w:tab w:val="center" w:pos="3199"/>
              </w:tabs>
              <w:spacing w:line="360" w:lineRule="auto"/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t>□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其他（</w:t>
            </w:r>
            <w:r>
              <w:rPr>
                <w:rFonts w:ascii="Times New Roman" w:hAnsi="Times New Roman" w:eastAsia="宋体" w:cs="Times New Roman"/>
                <w:sz w:val="24"/>
                <w:szCs w:val="24"/>
                <w:u w:val="single"/>
              </w:rPr>
              <w:t>请文字说明其他活动内容）</w:t>
            </w:r>
          </w:p>
        </w:tc>
      </w:tr>
      <w:tr w14:paraId="1A43F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8" w:type="dxa"/>
            <w:vAlign w:val="center"/>
          </w:tcPr>
          <w:p w14:paraId="2562F989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Cs/>
                <w:sz w:val="24"/>
                <w:szCs w:val="24"/>
              </w:rPr>
              <w:t>参与单位名称</w:t>
            </w:r>
          </w:p>
        </w:tc>
        <w:tc>
          <w:tcPr>
            <w:tcW w:w="5812" w:type="dxa"/>
          </w:tcPr>
          <w:p w14:paraId="610BBC4F">
            <w:pPr>
              <w:tabs>
                <w:tab w:val="center" w:pos="2798"/>
              </w:tabs>
              <w:spacing w:line="360" w:lineRule="auto"/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</w:rPr>
              <w:t>通过线上方式参与2026年第三季度业绩说明会的投资者</w:t>
            </w:r>
          </w:p>
        </w:tc>
      </w:tr>
      <w:tr w14:paraId="494FF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8" w:type="dxa"/>
          </w:tcPr>
          <w:p w14:paraId="3D6A09BC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Cs/>
                <w:sz w:val="24"/>
                <w:szCs w:val="24"/>
              </w:rPr>
              <w:t>会议时间</w:t>
            </w:r>
          </w:p>
        </w:tc>
        <w:tc>
          <w:tcPr>
            <w:tcW w:w="5812" w:type="dxa"/>
          </w:tcPr>
          <w:p w14:paraId="2804557A">
            <w:pPr>
              <w:spacing w:line="360" w:lineRule="auto"/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</w:rPr>
              <w:t>2026年11月3日（星期二）上午9:00-10:00</w:t>
            </w:r>
          </w:p>
        </w:tc>
      </w:tr>
      <w:tr w14:paraId="56A4D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8" w:type="dxa"/>
            <w:vAlign w:val="center"/>
          </w:tcPr>
          <w:p w14:paraId="1CBE7745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Cs/>
                <w:sz w:val="24"/>
                <w:szCs w:val="24"/>
              </w:rPr>
              <w:t>会议地点</w:t>
            </w:r>
          </w:p>
        </w:tc>
        <w:tc>
          <w:tcPr>
            <w:tcW w:w="5812" w:type="dxa"/>
          </w:tcPr>
          <w:p w14:paraId="09DD9527">
            <w:pPr>
              <w:spacing w:line="360" w:lineRule="auto"/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</w:rPr>
              <w:t>上海证券交易所上证路演中心</w:t>
            </w:r>
          </w:p>
          <w:p w14:paraId="51F24744">
            <w:pPr>
              <w:spacing w:line="360" w:lineRule="auto"/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</w:rPr>
              <w:t>（网址：http://roadshow.sseinfo.com/）</w:t>
            </w:r>
          </w:p>
        </w:tc>
      </w:tr>
      <w:tr w14:paraId="1D2E5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8" w:type="dxa"/>
            <w:vAlign w:val="center"/>
          </w:tcPr>
          <w:p w14:paraId="0C6D4980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Cs/>
                <w:sz w:val="24"/>
                <w:szCs w:val="24"/>
              </w:rPr>
              <w:t>上市公司接待人员姓名</w:t>
            </w:r>
          </w:p>
        </w:tc>
        <w:tc>
          <w:tcPr>
            <w:tcW w:w="5812" w:type="dxa"/>
          </w:tcPr>
          <w:p w14:paraId="57A963FA">
            <w:pPr>
              <w:spacing w:line="360" w:lineRule="auto"/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t>董事</w:t>
            </w: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</w:rPr>
              <w:t>长</w:t>
            </w: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t>：</w:t>
            </w: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</w:rPr>
              <w:t>吕宝利</w:t>
            </w:r>
          </w:p>
          <w:p w14:paraId="6FDF2EA6">
            <w:pPr>
              <w:spacing w:line="360" w:lineRule="auto"/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</w:rPr>
              <w:t>董事、总经理：S</w:t>
            </w: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t>UN JIANYONG</w:t>
            </w:r>
          </w:p>
          <w:p w14:paraId="5224C396">
            <w:pPr>
              <w:spacing w:line="360" w:lineRule="auto"/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</w:rPr>
              <w:t>独立董事：谢俊元</w:t>
            </w:r>
          </w:p>
          <w:p w14:paraId="186D5BAB">
            <w:pPr>
              <w:spacing w:line="360" w:lineRule="auto"/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t>副总经理、财务总监：王国华</w:t>
            </w:r>
          </w:p>
          <w:p w14:paraId="7E0B5C28">
            <w:pPr>
              <w:spacing w:line="360" w:lineRule="auto"/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t>董事会秘书：翟留镜</w:t>
            </w:r>
          </w:p>
          <w:p w14:paraId="7911065E">
            <w:pPr>
              <w:spacing w:line="360" w:lineRule="auto"/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</w:rPr>
              <w:t>投资者关系：沈晓屹</w:t>
            </w:r>
          </w:p>
        </w:tc>
      </w:tr>
      <w:tr w14:paraId="56E36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</w:trPr>
        <w:tc>
          <w:tcPr>
            <w:tcW w:w="2978" w:type="dxa"/>
            <w:vAlign w:val="center"/>
          </w:tcPr>
          <w:p w14:paraId="14C16E45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Cs/>
                <w:sz w:val="24"/>
                <w:szCs w:val="24"/>
              </w:rPr>
              <w:t>投资者关系活动主要内容介绍</w:t>
            </w:r>
          </w:p>
        </w:tc>
        <w:tc>
          <w:tcPr>
            <w:tcW w:w="5812" w:type="dxa"/>
          </w:tcPr>
          <w:p w14:paraId="4081EDA3">
            <w:pPr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iCs/>
                <w:sz w:val="24"/>
                <w:szCs w:val="24"/>
              </w:rPr>
              <w:t>公司于2026年11月3日在上海证券交易所上证路演中心召开了</w:t>
            </w: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</w:rPr>
              <w:t>2026年第三季度业绩说明会</w:t>
            </w:r>
            <w:r>
              <w:rPr>
                <w:rFonts w:hint="eastAsia" w:ascii="Times New Roman" w:hAnsi="Times New Roman" w:eastAsia="宋体" w:cs="Times New Roman"/>
                <w:iCs/>
                <w:sz w:val="24"/>
                <w:szCs w:val="24"/>
              </w:rPr>
              <w:t>，通过网络文字互动的方式与投资者进行了交流，具体问题及回复如下：</w:t>
            </w:r>
          </w:p>
          <w:p w14:paraId="5BB0105A">
            <w:pPr>
              <w:spacing w:line="360" w:lineRule="auto"/>
              <w:ind w:firstLine="482" w:firstLineChars="200"/>
              <w:rPr>
                <w:rFonts w:ascii="Times New Roman" w:hAnsi="Times New Roman" w:eastAsia="宋体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iCs/>
                <w:sz w:val="24"/>
                <w:szCs w:val="24"/>
              </w:rPr>
              <w:t>Q1：</w:t>
            </w:r>
            <w:r>
              <w:rPr>
                <w:rFonts w:hint="eastAsia" w:ascii="Times New Roman" w:hAnsi="Times New Roman" w:eastAsia="宋体" w:cs="Times New Roman"/>
                <w:b/>
                <w:iCs/>
                <w:sz w:val="24"/>
                <w:szCs w:val="24"/>
              </w:rPr>
              <w:t>关于综合毛利率的修复路径。公司2026年第二季度综合毛利率为40.75%（环比下降8.70个百分点），第三季度回升至42.14%（环比提升1.39个百分点）。请问：（1）Q3的1.39个百分点回升，主要来自产品销售结构的改善，还是供应链成本的回落？（2）公司对2026年第四季度及2027年毛利率的方向性判断如何？成本端是否已现企稳迹象？</w:t>
            </w:r>
          </w:p>
          <w:p w14:paraId="0C702AE2">
            <w:pPr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Cs/>
                <w:sz w:val="24"/>
                <w:szCs w:val="24"/>
              </w:rPr>
              <w:t>A：</w:t>
            </w:r>
            <w:r>
              <w:rPr>
                <w:rFonts w:hint="eastAsia" w:ascii="Times New Roman" w:hAnsi="Times New Roman" w:eastAsia="宋体" w:cs="Times New Roman"/>
                <w:iCs/>
                <w:sz w:val="24"/>
                <w:szCs w:val="24"/>
              </w:rPr>
              <w:t>尊敬的投资者，您好！2026年第三季度，公司综合毛利率环比提升，主要来自产品销售结构改变。目前公司季度的毛利率变动主要受当期公司产品结构变化的影响，会出现一定程度的波动，具体情况请关注公司后续公告。感谢您的关注！</w:t>
            </w:r>
          </w:p>
          <w:p w14:paraId="4629DFF1">
            <w:pPr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</w:p>
          <w:p w14:paraId="01EB224A">
            <w:pPr>
              <w:spacing w:line="360" w:lineRule="auto"/>
              <w:ind w:firstLine="482" w:firstLineChars="200"/>
              <w:rPr>
                <w:rFonts w:ascii="Times New Roman" w:hAnsi="Times New Roman" w:eastAsia="宋体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iCs/>
                <w:sz w:val="24"/>
                <w:szCs w:val="24"/>
              </w:rPr>
              <w:t>Q2：</w:t>
            </w:r>
            <w:r>
              <w:rPr>
                <w:rFonts w:hint="eastAsia" w:ascii="Times New Roman" w:hAnsi="Times New Roman" w:eastAsia="宋体" w:cs="Times New Roman"/>
                <w:b/>
                <w:iCs/>
                <w:sz w:val="24"/>
                <w:szCs w:val="24"/>
              </w:rPr>
              <w:t>关于供应链成本的具体环节。前述"供应链扰动导致产品成本阶段性承压"，具体指向哪一环节——晶圆代工报价、封装测试，还是交付周期与产能保障？相关成本上涨是否已通过长期协议锁定至2027年？若尚未锁定，公司在产能与价格上有哪些对冲安排？</w:t>
            </w:r>
          </w:p>
          <w:p w14:paraId="19D361D5">
            <w:pPr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Cs/>
                <w:sz w:val="24"/>
                <w:szCs w:val="24"/>
              </w:rPr>
              <w:t>A：</w:t>
            </w:r>
            <w:r>
              <w:rPr>
                <w:rFonts w:hint="eastAsia" w:ascii="Times New Roman" w:hAnsi="Times New Roman" w:eastAsia="宋体" w:cs="Times New Roman"/>
                <w:iCs/>
                <w:sz w:val="24"/>
                <w:szCs w:val="24"/>
              </w:rPr>
              <w:t>尊敬的投资者，您好！当前国际贸易环境复杂多变，公司供应链的成本在不同阶段面临来自多个环节的综合影响。公司积极寻求多元化的供应来源和市场布局，持续完善供应链体系，加强与供应商的战略合作，保障系列产品的稳定供货能力，加强供应链的安全与稳定。感谢您的关注！</w:t>
            </w:r>
          </w:p>
          <w:p w14:paraId="2B222C32">
            <w:pPr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</w:p>
          <w:p w14:paraId="1EC5666A">
            <w:pPr>
              <w:spacing w:line="360" w:lineRule="auto"/>
              <w:ind w:firstLine="482" w:firstLineChars="200"/>
              <w:rPr>
                <w:rFonts w:ascii="Times New Roman" w:hAnsi="Times New Roman" w:eastAsia="宋体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iCs/>
                <w:sz w:val="24"/>
                <w:szCs w:val="24"/>
              </w:rPr>
              <w:t>Q3：</w:t>
            </w:r>
            <w:r>
              <w:rPr>
                <w:rFonts w:hint="eastAsia" w:ascii="Times New Roman" w:hAnsi="Times New Roman" w:eastAsia="宋体" w:cs="Times New Roman"/>
                <w:b/>
                <w:iCs/>
                <w:sz w:val="24"/>
                <w:szCs w:val="24"/>
              </w:rPr>
              <w:t>关于高端旗舰产品所处阶段。2026年半年报披露，最大端口速率800G、交换容量12.8Tbps及25.6Tbps的高端旗舰芯片"在客户处进入应用阶段"。请明确该阶段的具体含义：是客户样品测试、小批量送样，还是已进入规模供货？截至目前，该系列产品是否已形成营业收入？此外，请说明下一代51.2T产品的流片进度与客户验证进展，以及公司对量产时点的内部规划；如不便披露具体时间，可否说明当前所处环节？</w:t>
            </w:r>
          </w:p>
          <w:p w14:paraId="7AB767D1">
            <w:pPr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Cs/>
                <w:sz w:val="24"/>
                <w:szCs w:val="24"/>
              </w:rPr>
              <w:t>A：</w:t>
            </w:r>
            <w:r>
              <w:rPr>
                <w:rFonts w:hint="eastAsia" w:ascii="Times New Roman" w:hAnsi="Times New Roman" w:eastAsia="宋体" w:cs="Times New Roman"/>
                <w:iCs/>
                <w:sz w:val="24"/>
                <w:szCs w:val="24"/>
              </w:rPr>
              <w:t>尊敬的投资者，您好！12.8T/25.6T 产品作为公司战略级产品，经过一年多的下游客户产品设计，目前已在客户处进入量产应用阶段。</w:t>
            </w:r>
          </w:p>
          <w:p w14:paraId="602FE887">
            <w:pPr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iCs/>
                <w:sz w:val="24"/>
                <w:szCs w:val="24"/>
              </w:rPr>
              <w:t>面向大规模数据中心和云服务的高端芯片产品系列，是公司产品战略的重要核心之一。目前下一代产品的研发与市场导入正按期进行，相关产业链协同与生态建设也在积极推进中。具体产品信息，请关注后续公司相关信息公告。感谢您的关注！</w:t>
            </w:r>
          </w:p>
          <w:p w14:paraId="4E035D7D">
            <w:pPr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</w:p>
          <w:p w14:paraId="75378AD7">
            <w:pPr>
              <w:spacing w:line="360" w:lineRule="auto"/>
              <w:ind w:firstLine="482" w:firstLineChars="200"/>
              <w:rPr>
                <w:rFonts w:ascii="Times New Roman" w:hAnsi="Times New Roman" w:eastAsia="宋体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iCs/>
                <w:sz w:val="24"/>
                <w:szCs w:val="24"/>
              </w:rPr>
              <w:t>Q</w:t>
            </w:r>
            <w:r>
              <w:rPr>
                <w:rFonts w:hint="eastAsia" w:ascii="Times New Roman" w:hAnsi="Times New Roman" w:eastAsia="宋体" w:cs="Times New Roman"/>
                <w:b/>
                <w:iCs/>
                <w:sz w:val="24"/>
                <w:szCs w:val="24"/>
              </w:rPr>
              <w:t>4</w:t>
            </w:r>
            <w:r>
              <w:rPr>
                <w:rFonts w:ascii="Times New Roman" w:hAnsi="Times New Roman" w:eastAsia="宋体" w:cs="Times New Roman"/>
                <w:b/>
                <w:iCs/>
                <w:sz w:val="24"/>
                <w:szCs w:val="24"/>
              </w:rPr>
              <w:t>：</w:t>
            </w:r>
            <w:r>
              <w:rPr>
                <w:rFonts w:hint="eastAsia" w:ascii="Times New Roman" w:hAnsi="Times New Roman" w:eastAsia="宋体" w:cs="Times New Roman"/>
                <w:b/>
                <w:iCs/>
                <w:sz w:val="24"/>
                <w:szCs w:val="24"/>
              </w:rPr>
              <w:t>关于产品结构变化。半年报公司战略提及"向下延伸接入产品线，在千兆、多速率的接入级别形成系列产品"。请说明2026年前三季度接入类产品在营业收入中的大致占比，以及其对综合毛利率的影响幅度。</w:t>
            </w:r>
          </w:p>
          <w:p w14:paraId="5A9FF8B0">
            <w:pPr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Cs/>
                <w:sz w:val="24"/>
                <w:szCs w:val="24"/>
              </w:rPr>
              <w:t>A：</w:t>
            </w:r>
            <w:r>
              <w:rPr>
                <w:rFonts w:hint="eastAsia" w:ascii="Times New Roman" w:hAnsi="Times New Roman" w:eastAsia="宋体" w:cs="Times New Roman"/>
                <w:iCs/>
                <w:sz w:val="24"/>
                <w:szCs w:val="24"/>
              </w:rPr>
              <w:t>尊敬的投资者，您好！公司始终注重产品的技术创新和研发积累，开展前瞻性的技术研发和布局，加快提升产品丰富度。接入类产品作为公司产品系列的重要组成部分，是公司原有根基性产品的自然延伸，具有良好的客户与市场应用基础。目前相关产品系列正处于市场导入与应用的前期。营收占比、毛利率等具体情况请关注公司后续相关公告。感谢您的关注！</w:t>
            </w:r>
          </w:p>
          <w:p w14:paraId="68B92CA4">
            <w:pPr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</w:p>
          <w:p w14:paraId="35E39F2D">
            <w:pPr>
              <w:spacing w:line="360" w:lineRule="auto"/>
              <w:ind w:firstLine="482" w:firstLineChars="200"/>
              <w:rPr>
                <w:rFonts w:ascii="Times New Roman" w:hAnsi="Times New Roman" w:eastAsia="宋体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iCs/>
                <w:sz w:val="24"/>
                <w:szCs w:val="24"/>
              </w:rPr>
              <w:t>Q</w:t>
            </w:r>
            <w:r>
              <w:rPr>
                <w:rFonts w:hint="eastAsia" w:ascii="Times New Roman" w:hAnsi="Times New Roman" w:eastAsia="宋体" w:cs="Times New Roman"/>
                <w:b/>
                <w:iCs/>
                <w:sz w:val="24"/>
                <w:szCs w:val="24"/>
              </w:rPr>
              <w:t>5</w:t>
            </w:r>
            <w:r>
              <w:rPr>
                <w:rFonts w:ascii="Times New Roman" w:hAnsi="Times New Roman" w:eastAsia="宋体" w:cs="Times New Roman"/>
                <w:b/>
                <w:iCs/>
                <w:sz w:val="24"/>
                <w:szCs w:val="24"/>
              </w:rPr>
              <w:t>：</w:t>
            </w:r>
            <w:r>
              <w:rPr>
                <w:rFonts w:hint="eastAsia" w:ascii="Times New Roman" w:hAnsi="Times New Roman" w:eastAsia="宋体" w:cs="Times New Roman"/>
                <w:b/>
                <w:iCs/>
                <w:sz w:val="24"/>
                <w:szCs w:val="24"/>
              </w:rPr>
              <w:t>公司三季度研发支出，固定资产账面金额同期，环比均大幅增长，其主要原因是什么？</w:t>
            </w:r>
          </w:p>
          <w:p w14:paraId="5BB101C7">
            <w:pPr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Cs/>
                <w:sz w:val="24"/>
                <w:szCs w:val="24"/>
              </w:rPr>
              <w:t>A：</w:t>
            </w:r>
            <w:r>
              <w:rPr>
                <w:rFonts w:hint="eastAsia" w:ascii="Times New Roman" w:hAnsi="Times New Roman" w:eastAsia="宋体" w:cs="Times New Roman"/>
                <w:iCs/>
                <w:sz w:val="24"/>
                <w:szCs w:val="24"/>
              </w:rPr>
              <w:t>尊敬的投资者，您好！前三季度公司研发投入合计44,217.55万元，较上年同期增长25.86%，研发投入占营业收入比例为38.87%。立足国家算力基础设施建设的战略需求，公司以打造更快、更可靠、更安全、更智能的新一代算力网络为目标，公司将继续坚定并持续加大研发投入力度，加速推进下一代智算互联产品与产业、生态布局。</w:t>
            </w:r>
          </w:p>
          <w:p w14:paraId="41C0AC42">
            <w:pPr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</w:p>
          <w:p w14:paraId="27D1C84A">
            <w:pPr>
              <w:spacing w:line="360" w:lineRule="auto"/>
              <w:ind w:firstLine="482" w:firstLineChars="200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Cs/>
                <w:sz w:val="24"/>
                <w:szCs w:val="24"/>
              </w:rPr>
              <w:t>Q6、请问51.2T的具体进度，貌似现在大幅落后友商了！</w:t>
            </w:r>
          </w:p>
          <w:p w14:paraId="406EC8D3">
            <w:pPr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iCs/>
                <w:sz w:val="24"/>
                <w:szCs w:val="24"/>
              </w:rPr>
              <w:t>A：尊敬的投资者，您好！面向大规模数据中心和云服务的高端芯片产品系列，是公司产品战略的重要核心之一。目前下一代产品的研发与市场导入正按期进行，相关产业链协同与生态建设也在积极推进中。具体产品信息，请关注后续公司相关信息公告。感谢您的关注！</w:t>
            </w:r>
          </w:p>
          <w:p w14:paraId="057A12FB">
            <w:pPr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</w:p>
          <w:p w14:paraId="43232B95">
            <w:pPr>
              <w:spacing w:line="360" w:lineRule="auto"/>
              <w:ind w:firstLine="482" w:firstLineChars="200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Cs/>
                <w:sz w:val="24"/>
                <w:szCs w:val="24"/>
              </w:rPr>
              <w:t>Q7、您好，存货较二季度没有改变，请问下是产品积压还是原材料备货导致？</w:t>
            </w:r>
          </w:p>
          <w:p w14:paraId="44AA6832">
            <w:pPr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iCs/>
                <w:sz w:val="24"/>
                <w:szCs w:val="24"/>
              </w:rPr>
              <w:t>A：尊敬的投资者，您好！公司存货规模与收入增长总体匹配，存货周转保持正常。公司期末存货保持较高水平主要是由于随着销售规模的扩大、产品市场需求量的增加以及受全球半导体供应形势的影响，导致上游产能供应的不确定性增加，公司为满足销售要求并及时响应客户需求所致。为了应对供应链的扰动及外部局势变化，公司在坚持稳健的库存管理策略的前提下，将动态调整备货策略，以适应不同时期的供应链状态，满足市场及客户需求。感谢您的关注！</w:t>
            </w:r>
          </w:p>
          <w:p w14:paraId="1CA6CE2C">
            <w:pPr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</w:p>
          <w:p w14:paraId="389AA923">
            <w:pPr>
              <w:spacing w:line="360" w:lineRule="auto"/>
              <w:ind w:firstLine="482" w:firstLineChars="200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Cs/>
                <w:sz w:val="24"/>
                <w:szCs w:val="24"/>
              </w:rPr>
              <w:t>Q8、你好，投资者非常关心下一代交换机芯片的研发进度，可以说明下51.2t的研发进度么，以及102.4t是否已经开始研发了</w:t>
            </w:r>
          </w:p>
          <w:p w14:paraId="521A3DB3">
            <w:pPr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iCs/>
                <w:sz w:val="24"/>
                <w:szCs w:val="24"/>
              </w:rPr>
              <w:t>A：尊敬的投资者，您好！面向大规模数据中心和云服务的高端芯片产品系列，是公司产品战略的重要核心之一。目前下一代产品的研发与市场导入正按期进行，相关产业链协同与生态建设也在积极推进中。</w:t>
            </w:r>
          </w:p>
          <w:p w14:paraId="3BBA630D">
            <w:pPr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iCs/>
                <w:sz w:val="24"/>
                <w:szCs w:val="24"/>
              </w:rPr>
              <w:t>当前，公司定增投向下一代高性能交换芯片研发和产业化项目，便是面向Scale-up超节点池化和Scale-out大规模横向组网场景，完善全带宽梯度高性能交换芯片产品矩阵的积极举措。产品的具体研发情况等信息，请关注后续公司相关公告。感谢您的关注！</w:t>
            </w:r>
          </w:p>
          <w:p w14:paraId="6EB962F2">
            <w:pPr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</w:p>
          <w:p w14:paraId="51E6B2C6">
            <w:pPr>
              <w:spacing w:line="360" w:lineRule="auto"/>
              <w:ind w:firstLine="482" w:firstLineChars="200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Cs/>
                <w:sz w:val="24"/>
                <w:szCs w:val="24"/>
              </w:rPr>
              <w:t>Q9、贵司前三季度营收同比增长近37%，但研发投入较高、利润仍承压。随着800G高端交换芯片进入客户应用阶段，未来扩大规模化应用时，公司会更侧重自主拓展市场，还是深化与云服务商及网络设备厂商的联合开发</w:t>
            </w:r>
          </w:p>
          <w:p w14:paraId="07A10191">
            <w:pPr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iCs/>
                <w:sz w:val="24"/>
                <w:szCs w:val="24"/>
              </w:rPr>
              <w:t>A：尊敬的投资者，您好！在规模化应用推进过程中，自主市场拓展与联合开发并非二选一，而是协同推进的关系。公司始终聚焦以太网交换芯片主业，一方面持续推进高端产品的市场化导入与商业化落地，另一方面不断深化与云服务商、网络设备厂商等产业链上下游伙伴的密切沟通与横向联合，通过协同验证、生态适配完善从产品到生态的立体布局，致力于为客户提供稳定可靠的芯片产品与服务。相关产品的具体应用进展，请关注公司后续相关公告。感谢您的关注！</w:t>
            </w:r>
          </w:p>
          <w:p w14:paraId="4053BAA6">
            <w:pPr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</w:p>
          <w:p w14:paraId="688C991E">
            <w:pPr>
              <w:spacing w:line="360" w:lineRule="auto"/>
              <w:ind w:firstLine="482" w:firstLineChars="200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Cs/>
                <w:sz w:val="24"/>
                <w:szCs w:val="24"/>
              </w:rPr>
              <w:t>Q10、麻烦请问公司未来的分红计划和派息政策？</w:t>
            </w:r>
          </w:p>
          <w:p w14:paraId="640A004E">
            <w:pPr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iCs/>
                <w:sz w:val="24"/>
                <w:szCs w:val="24"/>
              </w:rPr>
              <w:t>A：尊敬的投资者，您好，因公司尚存在较大未弥补亏损，根据《上海证券交易所科创板股票上市规则》及本公司章程的相关规定，公司暂不具备分红条件。在今后如公司达到或具备分红条件后，会严格按照有关法律法规的规定实施利润分配，并按规定履行信息披露义务。感谢您对公司的关注！</w:t>
            </w:r>
          </w:p>
          <w:p w14:paraId="04783CC4">
            <w:pPr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</w:p>
          <w:p w14:paraId="6C4B953C">
            <w:pPr>
              <w:spacing w:line="360" w:lineRule="auto"/>
              <w:ind w:firstLine="482" w:firstLineChars="200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Cs/>
                <w:sz w:val="24"/>
                <w:szCs w:val="24"/>
              </w:rPr>
              <w:t>Q11、请问公司25.6T产品收入情况？Q3贡献如何？</w:t>
            </w:r>
          </w:p>
          <w:p w14:paraId="521E5A4F">
            <w:pPr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iCs/>
                <w:sz w:val="24"/>
                <w:szCs w:val="24"/>
              </w:rPr>
              <w:t>A：尊敬的投资者，您好！12.8T/25.6T 产品作为公司战略级产品，经过一年多的下游客户产品设计，目前已在客户处进入量产应用阶段。感谢您的关注！</w:t>
            </w:r>
          </w:p>
          <w:p w14:paraId="69FF6C6B">
            <w:pPr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</w:p>
          <w:p w14:paraId="3B4CFFC6">
            <w:pPr>
              <w:spacing w:line="360" w:lineRule="auto"/>
              <w:ind w:firstLine="482" w:firstLineChars="200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Cs/>
                <w:sz w:val="24"/>
                <w:szCs w:val="24"/>
              </w:rPr>
              <w:t>Q12、请问公司定向增发进展，交易所是否已经受理。</w:t>
            </w:r>
          </w:p>
          <w:p w14:paraId="47DA9F90">
            <w:pPr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iCs/>
                <w:sz w:val="24"/>
                <w:szCs w:val="24"/>
              </w:rPr>
              <w:t>A：尊敬的投资者，您好！公司正在积极筹划并推进定增的申报工作。具体受理信息，请关注后续公司相关信息公告。感谢您的关注！</w:t>
            </w:r>
          </w:p>
          <w:p w14:paraId="16E32953">
            <w:pPr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</w:p>
          <w:p w14:paraId="0A48B7C4">
            <w:pPr>
              <w:spacing w:line="360" w:lineRule="auto"/>
              <w:ind w:firstLine="482" w:firstLineChars="200"/>
              <w:rPr>
                <w:rFonts w:ascii="Times New Roman" w:hAnsi="Times New Roman" w:eastAsia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Cs/>
                <w:sz w:val="24"/>
                <w:szCs w:val="24"/>
              </w:rPr>
              <w:t>Q13、领导，您好！我来自四川大决策</w:t>
            </w:r>
          </w:p>
          <w:p w14:paraId="62CDE84D">
            <w:pPr>
              <w:spacing w:line="360" w:lineRule="auto"/>
              <w:ind w:firstLine="482" w:firstLineChars="200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Cs/>
                <w:sz w:val="24"/>
                <w:szCs w:val="24"/>
              </w:rPr>
              <w:t>请问，结合三季报，12.8T、25.6T 高端交换芯片在智算、超算客户的验证、导入和批量落地进展？</w:t>
            </w:r>
          </w:p>
          <w:p w14:paraId="6E8DB4D7">
            <w:pPr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iCs/>
                <w:sz w:val="24"/>
                <w:szCs w:val="24"/>
              </w:rPr>
              <w:t>A：尊敬的投资者，您好！12.8T/25.6T 产品作为公司战略级产品，经过一年多的下游客户产品设计，目前已在客户处进入量产应用阶段。具体产品信息，请关注后续公司相关信息公告。感谢您的关注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iCs/>
                <w:sz w:val="24"/>
                <w:szCs w:val="24"/>
              </w:rPr>
              <w:t>！</w:t>
            </w:r>
          </w:p>
          <w:p w14:paraId="2AE5EE50">
            <w:pPr>
              <w:spacing w:line="360" w:lineRule="auto"/>
              <w:rPr>
                <w:rFonts w:ascii="Times" w:hAnsi="Times" w:eastAsia="宋体"/>
                <w:sz w:val="24"/>
              </w:rPr>
            </w:pPr>
          </w:p>
        </w:tc>
      </w:tr>
      <w:tr w14:paraId="39474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8" w:type="dxa"/>
            <w:vAlign w:val="center"/>
          </w:tcPr>
          <w:p w14:paraId="6C7CE897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Cs/>
                <w:sz w:val="24"/>
                <w:szCs w:val="24"/>
              </w:rPr>
              <w:t>关于本次活动是否涉及应当披露重大信息的说明</w:t>
            </w:r>
          </w:p>
        </w:tc>
        <w:tc>
          <w:tcPr>
            <w:tcW w:w="5812" w:type="dxa"/>
            <w:vAlign w:val="center"/>
          </w:tcPr>
          <w:p w14:paraId="0EF3C7DE">
            <w:pPr>
              <w:spacing w:line="360" w:lineRule="auto"/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t>本次活动不涉及应当披露重大信息。</w:t>
            </w:r>
          </w:p>
        </w:tc>
      </w:tr>
      <w:tr w14:paraId="1145E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8" w:type="dxa"/>
            <w:vAlign w:val="center"/>
          </w:tcPr>
          <w:p w14:paraId="7FBE5F15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Cs/>
                <w:sz w:val="24"/>
                <w:szCs w:val="24"/>
              </w:rPr>
              <w:t>附件清单（如有）</w:t>
            </w:r>
          </w:p>
        </w:tc>
        <w:tc>
          <w:tcPr>
            <w:tcW w:w="5812" w:type="dxa"/>
          </w:tcPr>
          <w:p w14:paraId="4552B711">
            <w:pPr>
              <w:spacing w:line="360" w:lineRule="auto"/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t>无</w:t>
            </w:r>
          </w:p>
        </w:tc>
      </w:tr>
      <w:tr w14:paraId="6689F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8" w:type="dxa"/>
            <w:vAlign w:val="center"/>
          </w:tcPr>
          <w:p w14:paraId="4290D435">
            <w:pPr>
              <w:spacing w:line="360" w:lineRule="auto"/>
              <w:rPr>
                <w:rFonts w:ascii="Times New Roman" w:hAnsi="Times New Roman" w:eastAsia="宋体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Cs/>
                <w:sz w:val="24"/>
                <w:szCs w:val="24"/>
              </w:rPr>
              <w:t>日期</w:t>
            </w:r>
          </w:p>
        </w:tc>
        <w:tc>
          <w:tcPr>
            <w:tcW w:w="5812" w:type="dxa"/>
            <w:vAlign w:val="center"/>
          </w:tcPr>
          <w:p w14:paraId="4929E02D">
            <w:pPr>
              <w:spacing w:line="360" w:lineRule="auto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Cs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宋体" w:cs="Times New Roman"/>
                <w:iCs/>
                <w:sz w:val="24"/>
                <w:szCs w:val="24"/>
              </w:rPr>
              <w:t>6</w:t>
            </w:r>
            <w:r>
              <w:rPr>
                <w:rFonts w:ascii="Times New Roman" w:hAnsi="Times New Roman" w:eastAsia="宋体" w:cs="Times New Roman"/>
                <w:iCs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宋体" w:cs="Times New Roman"/>
                <w:iCs/>
                <w:sz w:val="24"/>
                <w:szCs w:val="24"/>
              </w:rPr>
              <w:t>11</w:t>
            </w:r>
            <w:r>
              <w:rPr>
                <w:rFonts w:ascii="Times New Roman" w:hAnsi="Times New Roman" w:eastAsia="宋体" w:cs="Times New Roman"/>
                <w:iCs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宋体" w:cs="Times New Roman"/>
                <w:iCs/>
                <w:sz w:val="24"/>
                <w:szCs w:val="24"/>
              </w:rPr>
              <w:t>3</w:t>
            </w:r>
            <w:r>
              <w:rPr>
                <w:rFonts w:ascii="Times New Roman" w:hAnsi="Times New Roman" w:eastAsia="宋体" w:cs="Times New Roman"/>
                <w:iCs/>
                <w:sz w:val="24"/>
                <w:szCs w:val="24"/>
              </w:rPr>
              <w:t>日</w:t>
            </w:r>
          </w:p>
        </w:tc>
      </w:tr>
    </w:tbl>
    <w:p w14:paraId="572B2DCA">
      <w:pPr>
        <w:keepNext/>
        <w:keepLines/>
        <w:spacing w:before="260" w:after="260" w:line="360" w:lineRule="auto"/>
        <w:outlineLvl w:val="1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6CD"/>
    <w:rsid w:val="0000466C"/>
    <w:rsid w:val="00007952"/>
    <w:rsid w:val="00014EDC"/>
    <w:rsid w:val="00014F2A"/>
    <w:rsid w:val="00021F69"/>
    <w:rsid w:val="00023F7B"/>
    <w:rsid w:val="00025F26"/>
    <w:rsid w:val="000269F1"/>
    <w:rsid w:val="00026CD7"/>
    <w:rsid w:val="00026E2B"/>
    <w:rsid w:val="000270E5"/>
    <w:rsid w:val="000333DF"/>
    <w:rsid w:val="00042C46"/>
    <w:rsid w:val="000444E5"/>
    <w:rsid w:val="000528A8"/>
    <w:rsid w:val="0005452E"/>
    <w:rsid w:val="00063DB5"/>
    <w:rsid w:val="0006434F"/>
    <w:rsid w:val="00070593"/>
    <w:rsid w:val="00070C3B"/>
    <w:rsid w:val="00071B11"/>
    <w:rsid w:val="00081B36"/>
    <w:rsid w:val="000828F8"/>
    <w:rsid w:val="00086C90"/>
    <w:rsid w:val="0009058E"/>
    <w:rsid w:val="00093F87"/>
    <w:rsid w:val="000A133F"/>
    <w:rsid w:val="000A65EF"/>
    <w:rsid w:val="000B6FFD"/>
    <w:rsid w:val="000C2F52"/>
    <w:rsid w:val="000C49C6"/>
    <w:rsid w:val="000D47AE"/>
    <w:rsid w:val="000D4C06"/>
    <w:rsid w:val="000E68FD"/>
    <w:rsid w:val="000F49A8"/>
    <w:rsid w:val="000F6BEB"/>
    <w:rsid w:val="00103C4E"/>
    <w:rsid w:val="00111EF4"/>
    <w:rsid w:val="00113C72"/>
    <w:rsid w:val="00114CEA"/>
    <w:rsid w:val="001221B8"/>
    <w:rsid w:val="00123723"/>
    <w:rsid w:val="001304EB"/>
    <w:rsid w:val="001334C1"/>
    <w:rsid w:val="00136BC5"/>
    <w:rsid w:val="00143A57"/>
    <w:rsid w:val="00151B55"/>
    <w:rsid w:val="00161AB7"/>
    <w:rsid w:val="001672FF"/>
    <w:rsid w:val="001819EF"/>
    <w:rsid w:val="00183641"/>
    <w:rsid w:val="00186B52"/>
    <w:rsid w:val="00186DBB"/>
    <w:rsid w:val="0019643C"/>
    <w:rsid w:val="001965A6"/>
    <w:rsid w:val="001A125C"/>
    <w:rsid w:val="001A4D42"/>
    <w:rsid w:val="001B00D8"/>
    <w:rsid w:val="001B011E"/>
    <w:rsid w:val="001B508F"/>
    <w:rsid w:val="001B7B58"/>
    <w:rsid w:val="001C330B"/>
    <w:rsid w:val="001C7C07"/>
    <w:rsid w:val="001D1829"/>
    <w:rsid w:val="001D4F48"/>
    <w:rsid w:val="001D5222"/>
    <w:rsid w:val="001D7A5D"/>
    <w:rsid w:val="001E2BC5"/>
    <w:rsid w:val="001E5E64"/>
    <w:rsid w:val="001E7F7C"/>
    <w:rsid w:val="001F2572"/>
    <w:rsid w:val="001F5B62"/>
    <w:rsid w:val="0020764D"/>
    <w:rsid w:val="002118DC"/>
    <w:rsid w:val="00214C8F"/>
    <w:rsid w:val="00223E56"/>
    <w:rsid w:val="002278FB"/>
    <w:rsid w:val="00232813"/>
    <w:rsid w:val="00234237"/>
    <w:rsid w:val="00234D03"/>
    <w:rsid w:val="00242844"/>
    <w:rsid w:val="00251EF8"/>
    <w:rsid w:val="002525E9"/>
    <w:rsid w:val="0025271B"/>
    <w:rsid w:val="00255B4A"/>
    <w:rsid w:val="00256250"/>
    <w:rsid w:val="00256856"/>
    <w:rsid w:val="002650F9"/>
    <w:rsid w:val="00267056"/>
    <w:rsid w:val="002739C7"/>
    <w:rsid w:val="00273BE7"/>
    <w:rsid w:val="00273D9E"/>
    <w:rsid w:val="0028148B"/>
    <w:rsid w:val="00286F7B"/>
    <w:rsid w:val="0029285E"/>
    <w:rsid w:val="00293FBB"/>
    <w:rsid w:val="00295236"/>
    <w:rsid w:val="002A15B6"/>
    <w:rsid w:val="002B0AD4"/>
    <w:rsid w:val="002B75F5"/>
    <w:rsid w:val="002C1C3B"/>
    <w:rsid w:val="002C23DD"/>
    <w:rsid w:val="002C3AD1"/>
    <w:rsid w:val="002D15D1"/>
    <w:rsid w:val="002D3753"/>
    <w:rsid w:val="002F02D4"/>
    <w:rsid w:val="002F1B04"/>
    <w:rsid w:val="002F4C46"/>
    <w:rsid w:val="002F6EAD"/>
    <w:rsid w:val="00307607"/>
    <w:rsid w:val="00307EC1"/>
    <w:rsid w:val="0031032E"/>
    <w:rsid w:val="00310A63"/>
    <w:rsid w:val="003121F8"/>
    <w:rsid w:val="003131C3"/>
    <w:rsid w:val="0031371B"/>
    <w:rsid w:val="003173FB"/>
    <w:rsid w:val="00320D9D"/>
    <w:rsid w:val="00320EA7"/>
    <w:rsid w:val="00323118"/>
    <w:rsid w:val="00325E1F"/>
    <w:rsid w:val="00327CE4"/>
    <w:rsid w:val="00336191"/>
    <w:rsid w:val="00340A0E"/>
    <w:rsid w:val="003413FD"/>
    <w:rsid w:val="0034494F"/>
    <w:rsid w:val="003508D5"/>
    <w:rsid w:val="003524BC"/>
    <w:rsid w:val="0035572A"/>
    <w:rsid w:val="00356CC3"/>
    <w:rsid w:val="00362CD0"/>
    <w:rsid w:val="00363384"/>
    <w:rsid w:val="0037038A"/>
    <w:rsid w:val="003722F1"/>
    <w:rsid w:val="0037245D"/>
    <w:rsid w:val="00376EB2"/>
    <w:rsid w:val="0038034C"/>
    <w:rsid w:val="00386F86"/>
    <w:rsid w:val="00390AB1"/>
    <w:rsid w:val="00397642"/>
    <w:rsid w:val="003A2EB2"/>
    <w:rsid w:val="003B13A4"/>
    <w:rsid w:val="003B1C82"/>
    <w:rsid w:val="003B4C0A"/>
    <w:rsid w:val="003C0892"/>
    <w:rsid w:val="003D2A88"/>
    <w:rsid w:val="003D2F73"/>
    <w:rsid w:val="003D40E0"/>
    <w:rsid w:val="003E018B"/>
    <w:rsid w:val="003F0159"/>
    <w:rsid w:val="003F2A5A"/>
    <w:rsid w:val="003F6D0B"/>
    <w:rsid w:val="003F762B"/>
    <w:rsid w:val="00400B90"/>
    <w:rsid w:val="0040142B"/>
    <w:rsid w:val="00404723"/>
    <w:rsid w:val="004106EC"/>
    <w:rsid w:val="00411262"/>
    <w:rsid w:val="004127F6"/>
    <w:rsid w:val="00415FC4"/>
    <w:rsid w:val="00416927"/>
    <w:rsid w:val="00420071"/>
    <w:rsid w:val="0042182D"/>
    <w:rsid w:val="00425BB1"/>
    <w:rsid w:val="00432964"/>
    <w:rsid w:val="00433835"/>
    <w:rsid w:val="00466DA7"/>
    <w:rsid w:val="00467B9C"/>
    <w:rsid w:val="00470346"/>
    <w:rsid w:val="00472F77"/>
    <w:rsid w:val="00473F91"/>
    <w:rsid w:val="004809BF"/>
    <w:rsid w:val="00482D5D"/>
    <w:rsid w:val="004859A7"/>
    <w:rsid w:val="00495655"/>
    <w:rsid w:val="00497583"/>
    <w:rsid w:val="004A582B"/>
    <w:rsid w:val="004A58CB"/>
    <w:rsid w:val="004B3CE9"/>
    <w:rsid w:val="004B500C"/>
    <w:rsid w:val="004C3E41"/>
    <w:rsid w:val="004C6956"/>
    <w:rsid w:val="004D4156"/>
    <w:rsid w:val="004D614E"/>
    <w:rsid w:val="004E25DD"/>
    <w:rsid w:val="004E4320"/>
    <w:rsid w:val="004E4CBB"/>
    <w:rsid w:val="004F5C3F"/>
    <w:rsid w:val="00504DF9"/>
    <w:rsid w:val="00507071"/>
    <w:rsid w:val="00510286"/>
    <w:rsid w:val="00524D04"/>
    <w:rsid w:val="00531701"/>
    <w:rsid w:val="00534D66"/>
    <w:rsid w:val="00540AF5"/>
    <w:rsid w:val="0054404C"/>
    <w:rsid w:val="00562798"/>
    <w:rsid w:val="00572A6D"/>
    <w:rsid w:val="00582A7C"/>
    <w:rsid w:val="00582D78"/>
    <w:rsid w:val="00584526"/>
    <w:rsid w:val="00584D8F"/>
    <w:rsid w:val="00587DAB"/>
    <w:rsid w:val="00590DC4"/>
    <w:rsid w:val="005917EA"/>
    <w:rsid w:val="005953E9"/>
    <w:rsid w:val="005A0CBE"/>
    <w:rsid w:val="005A17E4"/>
    <w:rsid w:val="005A3CFE"/>
    <w:rsid w:val="005A4D77"/>
    <w:rsid w:val="005A50FB"/>
    <w:rsid w:val="005B17EF"/>
    <w:rsid w:val="005B3D04"/>
    <w:rsid w:val="005B4E74"/>
    <w:rsid w:val="005B628F"/>
    <w:rsid w:val="005C19C5"/>
    <w:rsid w:val="005C6678"/>
    <w:rsid w:val="005D087C"/>
    <w:rsid w:val="005D20DD"/>
    <w:rsid w:val="005E4F20"/>
    <w:rsid w:val="005E5F7A"/>
    <w:rsid w:val="005E7E4C"/>
    <w:rsid w:val="005F2C62"/>
    <w:rsid w:val="005F3897"/>
    <w:rsid w:val="005F7318"/>
    <w:rsid w:val="006016A0"/>
    <w:rsid w:val="00605119"/>
    <w:rsid w:val="00605339"/>
    <w:rsid w:val="00606A42"/>
    <w:rsid w:val="00620421"/>
    <w:rsid w:val="00623855"/>
    <w:rsid w:val="00626FB3"/>
    <w:rsid w:val="0063129A"/>
    <w:rsid w:val="006323B5"/>
    <w:rsid w:val="00633851"/>
    <w:rsid w:val="006374A3"/>
    <w:rsid w:val="006378C7"/>
    <w:rsid w:val="00642382"/>
    <w:rsid w:val="00643F90"/>
    <w:rsid w:val="0064637F"/>
    <w:rsid w:val="00646AED"/>
    <w:rsid w:val="00653A71"/>
    <w:rsid w:val="00654867"/>
    <w:rsid w:val="00655835"/>
    <w:rsid w:val="006559BE"/>
    <w:rsid w:val="00667FB5"/>
    <w:rsid w:val="00672C00"/>
    <w:rsid w:val="00686E4C"/>
    <w:rsid w:val="006934A1"/>
    <w:rsid w:val="0069619A"/>
    <w:rsid w:val="006A14AF"/>
    <w:rsid w:val="006A2A24"/>
    <w:rsid w:val="006A2E11"/>
    <w:rsid w:val="006A3184"/>
    <w:rsid w:val="006D2A76"/>
    <w:rsid w:val="006E3B82"/>
    <w:rsid w:val="006E7372"/>
    <w:rsid w:val="006F32A2"/>
    <w:rsid w:val="006F438E"/>
    <w:rsid w:val="00701E34"/>
    <w:rsid w:val="007067AF"/>
    <w:rsid w:val="007118F2"/>
    <w:rsid w:val="00713A75"/>
    <w:rsid w:val="007160C0"/>
    <w:rsid w:val="007249AB"/>
    <w:rsid w:val="00733488"/>
    <w:rsid w:val="00735F4D"/>
    <w:rsid w:val="0074541F"/>
    <w:rsid w:val="00746249"/>
    <w:rsid w:val="00747A0E"/>
    <w:rsid w:val="00751592"/>
    <w:rsid w:val="0075194C"/>
    <w:rsid w:val="007525D5"/>
    <w:rsid w:val="0075299B"/>
    <w:rsid w:val="0075619E"/>
    <w:rsid w:val="00756A97"/>
    <w:rsid w:val="00757362"/>
    <w:rsid w:val="0076183F"/>
    <w:rsid w:val="00770B3F"/>
    <w:rsid w:val="00771A91"/>
    <w:rsid w:val="00773060"/>
    <w:rsid w:val="00773213"/>
    <w:rsid w:val="00776854"/>
    <w:rsid w:val="00785284"/>
    <w:rsid w:val="00793674"/>
    <w:rsid w:val="0079430A"/>
    <w:rsid w:val="00794C8B"/>
    <w:rsid w:val="00795940"/>
    <w:rsid w:val="0079643A"/>
    <w:rsid w:val="007A3429"/>
    <w:rsid w:val="007A4905"/>
    <w:rsid w:val="007A5790"/>
    <w:rsid w:val="007B196F"/>
    <w:rsid w:val="007C1211"/>
    <w:rsid w:val="007C39F3"/>
    <w:rsid w:val="007C7447"/>
    <w:rsid w:val="007C7D09"/>
    <w:rsid w:val="007E1F58"/>
    <w:rsid w:val="007E2BE7"/>
    <w:rsid w:val="007F2176"/>
    <w:rsid w:val="00806573"/>
    <w:rsid w:val="00814484"/>
    <w:rsid w:val="00814C3E"/>
    <w:rsid w:val="008160A1"/>
    <w:rsid w:val="00816CED"/>
    <w:rsid w:val="00821685"/>
    <w:rsid w:val="00827C6C"/>
    <w:rsid w:val="00831F46"/>
    <w:rsid w:val="008331D4"/>
    <w:rsid w:val="00836E8C"/>
    <w:rsid w:val="008408F4"/>
    <w:rsid w:val="0084512E"/>
    <w:rsid w:val="008453D5"/>
    <w:rsid w:val="008526A2"/>
    <w:rsid w:val="00857E84"/>
    <w:rsid w:val="00863C8E"/>
    <w:rsid w:val="00873293"/>
    <w:rsid w:val="00875E95"/>
    <w:rsid w:val="008914C8"/>
    <w:rsid w:val="00894406"/>
    <w:rsid w:val="008966C1"/>
    <w:rsid w:val="008A120E"/>
    <w:rsid w:val="008A38BC"/>
    <w:rsid w:val="008B4886"/>
    <w:rsid w:val="008C04C9"/>
    <w:rsid w:val="008C4D32"/>
    <w:rsid w:val="008C5BFB"/>
    <w:rsid w:val="008C6B72"/>
    <w:rsid w:val="008C7588"/>
    <w:rsid w:val="008D2B96"/>
    <w:rsid w:val="008D3726"/>
    <w:rsid w:val="008E245B"/>
    <w:rsid w:val="008F19E3"/>
    <w:rsid w:val="008F5F3A"/>
    <w:rsid w:val="008F72E5"/>
    <w:rsid w:val="00900BAF"/>
    <w:rsid w:val="00903D9D"/>
    <w:rsid w:val="009108F5"/>
    <w:rsid w:val="0091400E"/>
    <w:rsid w:val="0091427B"/>
    <w:rsid w:val="009157EF"/>
    <w:rsid w:val="00917382"/>
    <w:rsid w:val="009224F5"/>
    <w:rsid w:val="00924412"/>
    <w:rsid w:val="0092574C"/>
    <w:rsid w:val="0093149A"/>
    <w:rsid w:val="00941808"/>
    <w:rsid w:val="00942951"/>
    <w:rsid w:val="009457DF"/>
    <w:rsid w:val="0095035C"/>
    <w:rsid w:val="009553B1"/>
    <w:rsid w:val="0096018C"/>
    <w:rsid w:val="00962B87"/>
    <w:rsid w:val="009650AB"/>
    <w:rsid w:val="00966C22"/>
    <w:rsid w:val="009678BF"/>
    <w:rsid w:val="009704F4"/>
    <w:rsid w:val="009776A7"/>
    <w:rsid w:val="00980694"/>
    <w:rsid w:val="00981B90"/>
    <w:rsid w:val="009868C0"/>
    <w:rsid w:val="00991961"/>
    <w:rsid w:val="009C06A4"/>
    <w:rsid w:val="009C63B1"/>
    <w:rsid w:val="009E0B46"/>
    <w:rsid w:val="009E3D68"/>
    <w:rsid w:val="009F7427"/>
    <w:rsid w:val="00A01B2E"/>
    <w:rsid w:val="00A03AA1"/>
    <w:rsid w:val="00A04996"/>
    <w:rsid w:val="00A05042"/>
    <w:rsid w:val="00A10F5B"/>
    <w:rsid w:val="00A12643"/>
    <w:rsid w:val="00A15A75"/>
    <w:rsid w:val="00A16F6F"/>
    <w:rsid w:val="00A31B20"/>
    <w:rsid w:val="00A32B73"/>
    <w:rsid w:val="00A32ED1"/>
    <w:rsid w:val="00A37775"/>
    <w:rsid w:val="00A40825"/>
    <w:rsid w:val="00A41A06"/>
    <w:rsid w:val="00A42493"/>
    <w:rsid w:val="00A56101"/>
    <w:rsid w:val="00A57863"/>
    <w:rsid w:val="00A6487E"/>
    <w:rsid w:val="00A65BAC"/>
    <w:rsid w:val="00A7075D"/>
    <w:rsid w:val="00A70EC0"/>
    <w:rsid w:val="00A71BAB"/>
    <w:rsid w:val="00A71BFD"/>
    <w:rsid w:val="00A76F0C"/>
    <w:rsid w:val="00A850F0"/>
    <w:rsid w:val="00A878CB"/>
    <w:rsid w:val="00A97143"/>
    <w:rsid w:val="00A97D76"/>
    <w:rsid w:val="00AA5E76"/>
    <w:rsid w:val="00AB03BB"/>
    <w:rsid w:val="00AB45D6"/>
    <w:rsid w:val="00AC5518"/>
    <w:rsid w:val="00AD237A"/>
    <w:rsid w:val="00AD445E"/>
    <w:rsid w:val="00AD4B08"/>
    <w:rsid w:val="00AE00B6"/>
    <w:rsid w:val="00AE3EE3"/>
    <w:rsid w:val="00AF6EE4"/>
    <w:rsid w:val="00B07508"/>
    <w:rsid w:val="00B12278"/>
    <w:rsid w:val="00B1691C"/>
    <w:rsid w:val="00B27C19"/>
    <w:rsid w:val="00B3573E"/>
    <w:rsid w:val="00B36A53"/>
    <w:rsid w:val="00B4298C"/>
    <w:rsid w:val="00B446BA"/>
    <w:rsid w:val="00B47853"/>
    <w:rsid w:val="00B57584"/>
    <w:rsid w:val="00B57667"/>
    <w:rsid w:val="00B577E9"/>
    <w:rsid w:val="00B61BCB"/>
    <w:rsid w:val="00B6223A"/>
    <w:rsid w:val="00B63CA5"/>
    <w:rsid w:val="00B67838"/>
    <w:rsid w:val="00B70645"/>
    <w:rsid w:val="00B73AED"/>
    <w:rsid w:val="00B855F5"/>
    <w:rsid w:val="00B8596B"/>
    <w:rsid w:val="00B87AF9"/>
    <w:rsid w:val="00B87C18"/>
    <w:rsid w:val="00B87D30"/>
    <w:rsid w:val="00B922C8"/>
    <w:rsid w:val="00B948F2"/>
    <w:rsid w:val="00B95F5D"/>
    <w:rsid w:val="00BB20B3"/>
    <w:rsid w:val="00BC3CAF"/>
    <w:rsid w:val="00BC3DA4"/>
    <w:rsid w:val="00BD29BD"/>
    <w:rsid w:val="00BE0789"/>
    <w:rsid w:val="00BE20BB"/>
    <w:rsid w:val="00BE277C"/>
    <w:rsid w:val="00BE54C4"/>
    <w:rsid w:val="00BE5D9C"/>
    <w:rsid w:val="00BF1133"/>
    <w:rsid w:val="00C001F3"/>
    <w:rsid w:val="00C104B8"/>
    <w:rsid w:val="00C1636B"/>
    <w:rsid w:val="00C207C2"/>
    <w:rsid w:val="00C22B7E"/>
    <w:rsid w:val="00C23986"/>
    <w:rsid w:val="00C32714"/>
    <w:rsid w:val="00C37AAB"/>
    <w:rsid w:val="00C40B1A"/>
    <w:rsid w:val="00C42788"/>
    <w:rsid w:val="00C43297"/>
    <w:rsid w:val="00C43D7B"/>
    <w:rsid w:val="00C47614"/>
    <w:rsid w:val="00C5254A"/>
    <w:rsid w:val="00C52F40"/>
    <w:rsid w:val="00C531CC"/>
    <w:rsid w:val="00C55E93"/>
    <w:rsid w:val="00C56171"/>
    <w:rsid w:val="00C70DF2"/>
    <w:rsid w:val="00C7174C"/>
    <w:rsid w:val="00C8356B"/>
    <w:rsid w:val="00C860DF"/>
    <w:rsid w:val="00C91519"/>
    <w:rsid w:val="00C9168C"/>
    <w:rsid w:val="00C91FD9"/>
    <w:rsid w:val="00C92DF8"/>
    <w:rsid w:val="00C951AA"/>
    <w:rsid w:val="00C97CFF"/>
    <w:rsid w:val="00CA018D"/>
    <w:rsid w:val="00CB352A"/>
    <w:rsid w:val="00CB3C4C"/>
    <w:rsid w:val="00CC092E"/>
    <w:rsid w:val="00CC4FD6"/>
    <w:rsid w:val="00CC6538"/>
    <w:rsid w:val="00CC78CC"/>
    <w:rsid w:val="00CD4048"/>
    <w:rsid w:val="00CD419D"/>
    <w:rsid w:val="00CD5CAD"/>
    <w:rsid w:val="00CD65D6"/>
    <w:rsid w:val="00CD66E0"/>
    <w:rsid w:val="00CE6D72"/>
    <w:rsid w:val="00CF6F6C"/>
    <w:rsid w:val="00CF75E2"/>
    <w:rsid w:val="00D0453D"/>
    <w:rsid w:val="00D06A5E"/>
    <w:rsid w:val="00D100A7"/>
    <w:rsid w:val="00D12BD7"/>
    <w:rsid w:val="00D13CFA"/>
    <w:rsid w:val="00D143BC"/>
    <w:rsid w:val="00D170E1"/>
    <w:rsid w:val="00D208A4"/>
    <w:rsid w:val="00D327C1"/>
    <w:rsid w:val="00D37CB6"/>
    <w:rsid w:val="00D40C13"/>
    <w:rsid w:val="00D41E36"/>
    <w:rsid w:val="00D5622E"/>
    <w:rsid w:val="00D66F9A"/>
    <w:rsid w:val="00D7427C"/>
    <w:rsid w:val="00D76F2A"/>
    <w:rsid w:val="00D84DF8"/>
    <w:rsid w:val="00D90C24"/>
    <w:rsid w:val="00D93D53"/>
    <w:rsid w:val="00D96E61"/>
    <w:rsid w:val="00D96FB9"/>
    <w:rsid w:val="00DA40FB"/>
    <w:rsid w:val="00DA4962"/>
    <w:rsid w:val="00DA5894"/>
    <w:rsid w:val="00DB1D3C"/>
    <w:rsid w:val="00DC2F46"/>
    <w:rsid w:val="00DD2242"/>
    <w:rsid w:val="00DD27C7"/>
    <w:rsid w:val="00DE2446"/>
    <w:rsid w:val="00DE31A5"/>
    <w:rsid w:val="00DE7F6D"/>
    <w:rsid w:val="00E003D4"/>
    <w:rsid w:val="00E0172D"/>
    <w:rsid w:val="00E07C47"/>
    <w:rsid w:val="00E205DF"/>
    <w:rsid w:val="00E24E41"/>
    <w:rsid w:val="00E32A31"/>
    <w:rsid w:val="00E53347"/>
    <w:rsid w:val="00E53783"/>
    <w:rsid w:val="00E616BB"/>
    <w:rsid w:val="00E61A61"/>
    <w:rsid w:val="00E64488"/>
    <w:rsid w:val="00E668C5"/>
    <w:rsid w:val="00E75B62"/>
    <w:rsid w:val="00E803AB"/>
    <w:rsid w:val="00E917B5"/>
    <w:rsid w:val="00E936FC"/>
    <w:rsid w:val="00E93DA5"/>
    <w:rsid w:val="00EA3651"/>
    <w:rsid w:val="00EA5C0E"/>
    <w:rsid w:val="00EA6288"/>
    <w:rsid w:val="00EC10E4"/>
    <w:rsid w:val="00EC1ED4"/>
    <w:rsid w:val="00EC28FD"/>
    <w:rsid w:val="00ED3AB2"/>
    <w:rsid w:val="00ED53EA"/>
    <w:rsid w:val="00ED70E6"/>
    <w:rsid w:val="00EE02A6"/>
    <w:rsid w:val="00EE16DD"/>
    <w:rsid w:val="00EE26CD"/>
    <w:rsid w:val="00EE7C85"/>
    <w:rsid w:val="00F03689"/>
    <w:rsid w:val="00F046A0"/>
    <w:rsid w:val="00F06B8F"/>
    <w:rsid w:val="00F1256C"/>
    <w:rsid w:val="00F142F3"/>
    <w:rsid w:val="00F32FC6"/>
    <w:rsid w:val="00F42E00"/>
    <w:rsid w:val="00F43790"/>
    <w:rsid w:val="00F47502"/>
    <w:rsid w:val="00F47961"/>
    <w:rsid w:val="00F50F83"/>
    <w:rsid w:val="00F51380"/>
    <w:rsid w:val="00F5385A"/>
    <w:rsid w:val="00F60682"/>
    <w:rsid w:val="00F61DA9"/>
    <w:rsid w:val="00F6394E"/>
    <w:rsid w:val="00F66E15"/>
    <w:rsid w:val="00F743F0"/>
    <w:rsid w:val="00F744EC"/>
    <w:rsid w:val="00F74675"/>
    <w:rsid w:val="00F76634"/>
    <w:rsid w:val="00F77DA1"/>
    <w:rsid w:val="00F826BF"/>
    <w:rsid w:val="00F870FA"/>
    <w:rsid w:val="00F87C66"/>
    <w:rsid w:val="00F93AD8"/>
    <w:rsid w:val="00F9738B"/>
    <w:rsid w:val="00FA0608"/>
    <w:rsid w:val="00FA56AE"/>
    <w:rsid w:val="00FB2109"/>
    <w:rsid w:val="00FB28D9"/>
    <w:rsid w:val="00FB28F5"/>
    <w:rsid w:val="00FB3189"/>
    <w:rsid w:val="00FB4A0F"/>
    <w:rsid w:val="00FC12C0"/>
    <w:rsid w:val="00FC19DF"/>
    <w:rsid w:val="00FC2937"/>
    <w:rsid w:val="00FC55FE"/>
    <w:rsid w:val="00FD225E"/>
    <w:rsid w:val="00FE33A1"/>
    <w:rsid w:val="00FE6D51"/>
    <w:rsid w:val="00FE6ED9"/>
    <w:rsid w:val="00FF291F"/>
    <w:rsid w:val="00FF4F78"/>
    <w:rsid w:val="03942740"/>
    <w:rsid w:val="05F15F19"/>
    <w:rsid w:val="15152076"/>
    <w:rsid w:val="153F1595"/>
    <w:rsid w:val="18243325"/>
    <w:rsid w:val="189A03CC"/>
    <w:rsid w:val="2F064DB0"/>
    <w:rsid w:val="32242D99"/>
    <w:rsid w:val="457763F3"/>
    <w:rsid w:val="467F0394"/>
    <w:rsid w:val="4CF7225E"/>
    <w:rsid w:val="509C78AA"/>
    <w:rsid w:val="57DF356A"/>
    <w:rsid w:val="5C406701"/>
    <w:rsid w:val="5E151E13"/>
    <w:rsid w:val="685428D3"/>
    <w:rsid w:val="69C34EFD"/>
    <w:rsid w:val="71E36020"/>
    <w:rsid w:val="72B517B5"/>
    <w:rsid w:val="74372BBC"/>
    <w:rsid w:val="7D9832A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页眉 字符"/>
    <w:basedOn w:val="9"/>
    <w:link w:val="5"/>
    <w:qFormat/>
    <w:uiPriority w:val="99"/>
    <w:rPr>
      <w:kern w:val="2"/>
      <w:sz w:val="18"/>
      <w:szCs w:val="18"/>
    </w:rPr>
  </w:style>
  <w:style w:type="character" w:customStyle="1" w:styleId="12">
    <w:name w:val="页脚 字符"/>
    <w:basedOn w:val="9"/>
    <w:link w:val="4"/>
    <w:qFormat/>
    <w:uiPriority w:val="99"/>
    <w:rPr>
      <w:kern w:val="2"/>
      <w:sz w:val="18"/>
      <w:szCs w:val="18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  <w:style w:type="character" w:customStyle="1" w:styleId="14">
    <w:name w:val="批注文字 字符"/>
    <w:basedOn w:val="9"/>
    <w:link w:val="2"/>
    <w:semiHidden/>
    <w:qFormat/>
    <w:uiPriority w:val="99"/>
    <w:rPr>
      <w:kern w:val="2"/>
      <w:sz w:val="21"/>
      <w:szCs w:val="22"/>
    </w:rPr>
  </w:style>
  <w:style w:type="character" w:customStyle="1" w:styleId="15">
    <w:name w:val="批注主题 字符"/>
    <w:basedOn w:val="14"/>
    <w:link w:val="6"/>
    <w:semiHidden/>
    <w:qFormat/>
    <w:uiPriority w:val="99"/>
    <w:rPr>
      <w:b/>
      <w:bCs/>
      <w:kern w:val="2"/>
      <w:sz w:val="21"/>
      <w:szCs w:val="22"/>
    </w:rPr>
  </w:style>
  <w:style w:type="character" w:customStyle="1" w:styleId="16">
    <w:name w:val="批注框文本 字符"/>
    <w:basedOn w:val="9"/>
    <w:link w:val="3"/>
    <w:semiHidden/>
    <w:qFormat/>
    <w:uiPriority w:val="99"/>
    <w:rPr>
      <w:kern w:val="2"/>
      <w:sz w:val="18"/>
      <w:szCs w:val="18"/>
    </w:rPr>
  </w:style>
  <w:style w:type="paragraph" w:customStyle="1" w:styleId="17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8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9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84A98A-20A6-4570-B8D6-367F08FFE02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3029</Words>
  <Characters>3277</Characters>
  <Lines>24</Lines>
  <Paragraphs>6</Paragraphs>
  <TotalTime>9</TotalTime>
  <ScaleCrop>false</ScaleCrop>
  <LinksUpToDate>false</LinksUpToDate>
  <CharactersWithSpaces>3351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2026-11-03T06:01:00Z</dcterms:created>
  <dc:creator>Li Xiang</dc:creator>
  <cp:lastModifiedBy>zhangwj</cp:lastModifiedBy>
  <dcterms:modified xsi:type="dcterms:W3CDTF">2026-11-03T06:23:34Z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KSOTemplateDocerSaveRecord">
    <vt:lpwstr>eyJoZGlkIjoiZjc3NDA3NmQ4NmRhYTViNzcyYzQyMzZiNmE4NDc2NWUiLCJ1c2VySWQiOiIzMjE4NTQ4NDkifQ==</vt:lpwstr>
  </property>
  <property fmtid="{D5CDD505-2E9C-101B-9397-08002B2CF9AE}" pid="4" name="ICV">
    <vt:lpwstr>EB1AF41BCE3E48049FF43017C53CC819_12</vt:lpwstr>
  </property>
</Properties>
</file>