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ADBC2">
      <w:pPr>
        <w:autoSpaceDE w:val="0"/>
        <w:autoSpaceDN w:val="0"/>
        <w:spacing w:line="460" w:lineRule="exact"/>
        <w:ind w:right="17"/>
        <w:jc w:val="center"/>
        <w:rPr>
          <w:rFonts w:ascii="Times New Roman" w:hAnsi="Times New Roman" w:eastAsia="宋体" w:cs="Times New Roman"/>
          <w:b/>
          <w:kern w:val="0"/>
          <w:sz w:val="32"/>
          <w:szCs w:val="32"/>
          <w:lang w:val="zh-CN" w:bidi="zh-CN"/>
        </w:rPr>
      </w:pPr>
      <w:r>
        <w:rPr>
          <w:rFonts w:ascii="Times New Roman" w:hAnsi="Times New Roman" w:eastAsia="宋体" w:cs="Times New Roman"/>
          <w:b/>
          <w:kern w:val="0"/>
          <w:sz w:val="32"/>
          <w:szCs w:val="32"/>
          <w:lang w:val="zh-CN" w:bidi="zh-CN"/>
        </w:rPr>
        <w:t>深圳市联赢激光股份有限公司</w:t>
      </w:r>
    </w:p>
    <w:p w14:paraId="58D76AC0">
      <w:pPr>
        <w:autoSpaceDE w:val="0"/>
        <w:autoSpaceDN w:val="0"/>
        <w:spacing w:line="460" w:lineRule="exact"/>
        <w:ind w:right="17"/>
        <w:jc w:val="center"/>
        <w:rPr>
          <w:rFonts w:ascii="Times New Roman" w:hAnsi="Times New Roman" w:eastAsia="宋体" w:cs="Times New Roman"/>
          <w:b/>
          <w:kern w:val="0"/>
          <w:sz w:val="36"/>
          <w:lang w:val="zh-CN" w:bidi="zh-CN"/>
        </w:rPr>
      </w:pPr>
      <w:r>
        <w:rPr>
          <w:rFonts w:ascii="Times New Roman" w:hAnsi="Times New Roman" w:eastAsia="宋体" w:cs="Times New Roman"/>
          <w:b/>
          <w:kern w:val="0"/>
          <w:sz w:val="32"/>
          <w:szCs w:val="32"/>
          <w:lang w:val="zh-CN" w:bidi="zh-CN"/>
        </w:rPr>
        <w:t>投资者关系活动记录表</w:t>
      </w:r>
    </w:p>
    <w:p w14:paraId="636A6EA5">
      <w:pPr>
        <w:tabs>
          <w:tab w:val="left" w:pos="3713"/>
          <w:tab w:val="left" w:pos="6481"/>
        </w:tabs>
        <w:autoSpaceDE w:val="0"/>
        <w:autoSpaceDN w:val="0"/>
        <w:spacing w:before="156" w:beforeLines="50" w:after="156" w:afterLines="50"/>
        <w:jc w:val="left"/>
        <w:rPr>
          <w:rFonts w:ascii="Times New Roman" w:hAnsi="Times New Roman" w:eastAsia="宋体" w:cs="Times New Roman"/>
          <w:b/>
          <w:kern w:val="0"/>
          <w:szCs w:val="21"/>
          <w:lang w:bidi="zh-CN"/>
        </w:rPr>
      </w:pP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>股票简称：联赢激光</w:t>
      </w: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ab/>
      </w: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>股票代码：</w:t>
      </w:r>
      <w:r>
        <w:rPr>
          <w:rFonts w:ascii="Times New Roman" w:hAnsi="Times New Roman" w:eastAsia="宋体" w:cs="Times New Roman"/>
          <w:b/>
          <w:kern w:val="0"/>
          <w:szCs w:val="21"/>
          <w:lang w:bidi="zh-CN"/>
        </w:rPr>
        <w:t>688518</w:t>
      </w: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ab/>
      </w: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>编号：202</w:t>
      </w:r>
      <w:r>
        <w:rPr>
          <w:rFonts w:ascii="Times New Roman" w:hAnsi="Times New Roman" w:eastAsia="宋体" w:cs="Times New Roman"/>
          <w:b/>
          <w:kern w:val="0"/>
          <w:szCs w:val="21"/>
          <w:lang w:bidi="zh-CN"/>
        </w:rPr>
        <w:t>6</w:t>
      </w:r>
      <w:r>
        <w:rPr>
          <w:rFonts w:ascii="Times New Roman" w:hAnsi="Times New Roman" w:eastAsia="宋体" w:cs="Times New Roman"/>
          <w:b/>
          <w:kern w:val="0"/>
          <w:szCs w:val="21"/>
          <w:lang w:val="zh-CN" w:bidi="zh-CN"/>
        </w:rPr>
        <w:t>-005</w:t>
      </w:r>
    </w:p>
    <w:tbl>
      <w:tblPr>
        <w:tblStyle w:val="10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3813"/>
        <w:gridCol w:w="3544"/>
      </w:tblGrid>
      <w:tr w14:paraId="7EB97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3" w:hRule="atLeast"/>
          <w:jc w:val="center"/>
        </w:trPr>
        <w:tc>
          <w:tcPr>
            <w:tcW w:w="1569" w:type="dxa"/>
            <w:vAlign w:val="center"/>
          </w:tcPr>
          <w:p w14:paraId="42C94CE8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投资者关系</w:t>
            </w:r>
          </w:p>
          <w:p w14:paraId="4229C7F1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活动类别</w:t>
            </w:r>
          </w:p>
        </w:tc>
        <w:tc>
          <w:tcPr>
            <w:tcW w:w="3813" w:type="dxa"/>
            <w:tcBorders>
              <w:right w:val="nil"/>
            </w:tcBorders>
          </w:tcPr>
          <w:p w14:paraId="6AB3BAF7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Cs w:val="21"/>
              </w:rPr>
              <w:t>特定对象调研</w:t>
            </w:r>
          </w:p>
          <w:p w14:paraId="46BB4717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□媒体采访</w:t>
            </w:r>
          </w:p>
          <w:p w14:paraId="642437AB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□新闻发布会</w:t>
            </w:r>
          </w:p>
          <w:p w14:paraId="2E332FE6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Cs w:val="21"/>
              </w:rPr>
              <w:t>现场参观</w:t>
            </w:r>
          </w:p>
          <w:p w14:paraId="6535A84A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sym w:font="Wingdings 2" w:char="0052"/>
            </w:r>
            <w:r>
              <w:rPr>
                <w:rFonts w:ascii="Times New Roman" w:hAnsi="Times New Roman" w:eastAsia="宋体" w:cs="Times New Roman"/>
                <w:szCs w:val="21"/>
              </w:rPr>
              <w:t>电话会议</w:t>
            </w:r>
          </w:p>
        </w:tc>
        <w:tc>
          <w:tcPr>
            <w:tcW w:w="3544" w:type="dxa"/>
            <w:tcBorders>
              <w:left w:val="nil"/>
            </w:tcBorders>
          </w:tcPr>
          <w:p w14:paraId="5582F671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□分析师会议</w:t>
            </w:r>
          </w:p>
          <w:p w14:paraId="221E7FC2">
            <w:pPr>
              <w:rPr>
                <w:rFonts w:ascii="Times New Roman" w:hAnsi="Times New Roman" w:eastAsia="宋体" w:cs="Times New Roman"/>
                <w:szCs w:val="21"/>
              </w:rPr>
            </w:pPr>
            <w:bookmarkStart w:id="0" w:name="OLE_LINK3"/>
            <w:bookmarkStart w:id="1" w:name="OLE_LINK2"/>
            <w:r>
              <w:rPr>
                <w:rFonts w:ascii="Times New Roman" w:hAnsi="Times New Roman" w:eastAsia="宋体" w:cs="Times New Roman"/>
                <w:szCs w:val="21"/>
              </w:rPr>
              <w:sym w:font="Wingdings 2" w:char="0052"/>
            </w:r>
            <w:bookmarkEnd w:id="0"/>
            <w:bookmarkEnd w:id="1"/>
            <w:r>
              <w:rPr>
                <w:rFonts w:ascii="Times New Roman" w:hAnsi="Times New Roman" w:eastAsia="宋体" w:cs="Times New Roman"/>
                <w:szCs w:val="21"/>
              </w:rPr>
              <w:t>业绩说明会</w:t>
            </w:r>
          </w:p>
          <w:p w14:paraId="1AFBEAB3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□路演活动</w:t>
            </w:r>
          </w:p>
          <w:p w14:paraId="5493181A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sym w:font="Wingdings 2" w:char="00A3"/>
            </w:r>
            <w:r>
              <w:rPr>
                <w:rFonts w:ascii="Times New Roman" w:hAnsi="Times New Roman" w:eastAsia="宋体" w:cs="Times New Roman"/>
                <w:szCs w:val="21"/>
              </w:rPr>
              <w:t>一对一沟通</w:t>
            </w:r>
          </w:p>
        </w:tc>
      </w:tr>
      <w:tr w14:paraId="2D8E4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569" w:type="dxa"/>
            <w:vAlign w:val="center"/>
          </w:tcPr>
          <w:p w14:paraId="55C2A635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参与单位名称及人员</w:t>
            </w:r>
          </w:p>
        </w:tc>
        <w:tc>
          <w:tcPr>
            <w:tcW w:w="7357" w:type="dxa"/>
            <w:gridSpan w:val="2"/>
            <w:vAlign w:val="center"/>
          </w:tcPr>
          <w:p w14:paraId="388875EF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napToGrid w:val="0"/>
                <w:color w:val="000000"/>
                <w:spacing w:val="-1"/>
                <w:kern w:val="0"/>
                <w:szCs w:val="21"/>
              </w:rPr>
              <w:t>130家投资机构的202名投资者（详见附件1《与会机构清单》）</w:t>
            </w:r>
          </w:p>
        </w:tc>
      </w:tr>
      <w:tr w14:paraId="33075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569" w:type="dxa"/>
            <w:vAlign w:val="center"/>
          </w:tcPr>
          <w:p w14:paraId="7C5AD130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时间</w:t>
            </w:r>
          </w:p>
        </w:tc>
        <w:tc>
          <w:tcPr>
            <w:tcW w:w="7357" w:type="dxa"/>
            <w:gridSpan w:val="2"/>
            <w:vAlign w:val="center"/>
          </w:tcPr>
          <w:p w14:paraId="6F9AE517">
            <w:pPr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2026年11月2日</w:t>
            </w:r>
          </w:p>
        </w:tc>
      </w:tr>
      <w:tr w14:paraId="171B2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569" w:type="dxa"/>
            <w:vAlign w:val="center"/>
          </w:tcPr>
          <w:p w14:paraId="1324332B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地点</w:t>
            </w:r>
          </w:p>
        </w:tc>
        <w:tc>
          <w:tcPr>
            <w:tcW w:w="7357" w:type="dxa"/>
            <w:gridSpan w:val="2"/>
            <w:vAlign w:val="center"/>
          </w:tcPr>
          <w:p w14:paraId="786E21E6">
            <w:pPr>
              <w:rPr>
                <w:rFonts w:ascii="Times New Roman" w:hAnsi="Times New Roman" w:eastAsia="宋体" w:cs="Times New Roman"/>
                <w:snapToGrid w:val="0"/>
                <w:color w:val="000000"/>
                <w:spacing w:val="-1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snapToGrid w:val="0"/>
                <w:color w:val="000000"/>
                <w:spacing w:val="-1"/>
                <w:kern w:val="0"/>
                <w:szCs w:val="21"/>
              </w:rPr>
              <w:t>线上会议平台</w:t>
            </w:r>
          </w:p>
        </w:tc>
      </w:tr>
      <w:tr w14:paraId="03F6E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569" w:type="dxa"/>
            <w:vAlign w:val="center"/>
          </w:tcPr>
          <w:p w14:paraId="0F2F612E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上市公司接待</w:t>
            </w:r>
          </w:p>
          <w:p w14:paraId="779727FF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人员姓名</w:t>
            </w:r>
          </w:p>
        </w:tc>
        <w:tc>
          <w:tcPr>
            <w:tcW w:w="7357" w:type="dxa"/>
            <w:gridSpan w:val="2"/>
            <w:vAlign w:val="center"/>
          </w:tcPr>
          <w:p w14:paraId="7289DDA5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公司副董事长、总经理：贾松</w:t>
            </w:r>
          </w:p>
          <w:p w14:paraId="16500183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公司副总经理、财务总监、董事会秘书：谢强</w:t>
            </w:r>
          </w:p>
          <w:p w14:paraId="0995F3AF">
            <w:pPr>
              <w:spacing w:line="360" w:lineRule="auto"/>
              <w:rPr>
                <w:rFonts w:ascii="Times New Roman" w:hAnsi="Times New Roman" w:eastAsia="宋体" w:cs="Times New Roman"/>
                <w:snapToGrid w:val="0"/>
                <w:color w:val="000000"/>
                <w:spacing w:val="-1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公司证券事务代表：张晓平</w:t>
            </w:r>
          </w:p>
        </w:tc>
      </w:tr>
      <w:tr w14:paraId="1F44F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569" w:type="dxa"/>
            <w:vAlign w:val="center"/>
          </w:tcPr>
          <w:p w14:paraId="1860EE6F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投资者关系活动主要内容介绍</w:t>
            </w:r>
          </w:p>
        </w:tc>
        <w:tc>
          <w:tcPr>
            <w:tcW w:w="7357" w:type="dxa"/>
            <w:gridSpan w:val="2"/>
          </w:tcPr>
          <w:p w14:paraId="7CCCA582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第一部分：介绍公司2026年前三季度</w:t>
            </w: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经营</w: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w:t>情况</w:t>
            </w:r>
          </w:p>
          <w:p w14:paraId="1C27997F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1、 营业收入和利润情况</w:t>
            </w:r>
            <w:r>
              <w:rPr>
                <w:rFonts w:ascii="Times New Roman" w:hAnsi="Times New Roman" w:eastAsia="宋体" w:cs="Times New Roman"/>
                <w:szCs w:val="24"/>
              </w:rPr>
              <w:t>：</w:t>
            </w:r>
            <w:bookmarkStart w:id="2" w:name="OLE_LINK45"/>
            <w:bookmarkStart w:id="3" w:name="OLE_LINK44"/>
          </w:p>
          <w:p w14:paraId="5F290DFF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2026年</w:t>
            </w:r>
            <w:bookmarkEnd w:id="2"/>
            <w:bookmarkEnd w:id="3"/>
            <w:r>
              <w:rPr>
                <w:rFonts w:ascii="Times New Roman" w:hAnsi="Times New Roman" w:eastAsia="宋体" w:cs="Times New Roman"/>
                <w:szCs w:val="24"/>
              </w:rPr>
              <w:t>前三季度公司实现营业收入29.34亿元，同比增长30.55%，其中第三季度实现营业收入11.92亿元，同比增长66.90%，环比增长39.12%；前三季度实现归属于上市公司股东净利润2.50亿元，同比增长131.42%，其中第三季度实现归属于上市公司股东净利润1.52亿元，同比增长202.48%，环比增长189.44%；</w:t>
            </w:r>
            <w:bookmarkStart w:id="4" w:name="OLE_LINK41"/>
            <w:bookmarkStart w:id="5" w:name="OLE_LINK40"/>
            <w:r>
              <w:rPr>
                <w:rFonts w:ascii="Times New Roman" w:hAnsi="Times New Roman" w:eastAsia="宋体" w:cs="Times New Roman"/>
                <w:szCs w:val="24"/>
              </w:rPr>
              <w:t>前三季度归属于上市公司股东</w:t>
            </w:r>
            <w:bookmarkEnd w:id="4"/>
            <w:bookmarkEnd w:id="5"/>
            <w:r>
              <w:rPr>
                <w:rFonts w:ascii="Times New Roman" w:hAnsi="Times New Roman" w:eastAsia="宋体" w:cs="Times New Roman"/>
                <w:szCs w:val="24"/>
              </w:rPr>
              <w:t>扣除非经常性损益后的净利润为2.30亿元，同比增长159.30%；</w:t>
            </w:r>
          </w:p>
          <w:p w14:paraId="1B91234A">
            <w:pPr>
              <w:spacing w:line="360" w:lineRule="auto"/>
              <w:rPr>
                <w:rFonts w:hint="eastAsia"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2026年前三季度公司综合毛利率达29.17%，其中第三季度毛利率为30.54%，今年各季度毛利率呈现逐季增长态势。2026年前三季度期间费用率为22.27%，同比减少4.13个百分点，其中第三季度期间费用率为20.31%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，较2026年半年度数据进一步下降。</w:t>
            </w:r>
          </w:p>
          <w:p w14:paraId="338E34EB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受毛利率提升、叠加规模效应下期间费用率下降影响，2026年前三季度公司净利率为8.54%，其中第三季度净利率为12.74%，较前两个季度的5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.00</w:t>
            </w:r>
            <w:r>
              <w:rPr>
                <w:rFonts w:ascii="Times New Roman" w:hAnsi="Times New Roman" w:eastAsia="宋体" w:cs="Times New Roman"/>
                <w:szCs w:val="24"/>
              </w:rPr>
              <w:t>%、6.34%、有明显提升。</w:t>
            </w:r>
          </w:p>
          <w:p w14:paraId="2ABB5A39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2、资产与运营情况</w:t>
            </w:r>
            <w:r>
              <w:rPr>
                <w:rFonts w:ascii="Times New Roman" w:hAnsi="Times New Roman" w:eastAsia="宋体" w:cs="Times New Roman"/>
                <w:szCs w:val="24"/>
              </w:rPr>
              <w:t>：</w:t>
            </w:r>
          </w:p>
          <w:p w14:paraId="2E02CA73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截至2026年9月末，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存货账面价值</w:t>
            </w:r>
            <w:r>
              <w:rPr>
                <w:rFonts w:ascii="Times New Roman" w:hAnsi="Times New Roman" w:eastAsia="宋体" w:cs="Times New Roman"/>
                <w:szCs w:val="24"/>
              </w:rPr>
              <w:t>41.81亿元，合同负债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账面价值</w:t>
            </w:r>
            <w:r>
              <w:rPr>
                <w:rFonts w:ascii="Times New Roman" w:hAnsi="Times New Roman" w:eastAsia="宋体" w:cs="Times New Roman"/>
                <w:szCs w:val="24"/>
              </w:rPr>
              <w:t>30.25亿元，存货和合同负债较期初均实现快速增长，主要系公司新签订单增加所致。</w:t>
            </w:r>
            <w:bookmarkStart w:id="6" w:name="OLE_LINK38"/>
            <w:bookmarkStart w:id="7" w:name="OLE_LINK36"/>
            <w:bookmarkStart w:id="8" w:name="OLE_LINK37"/>
            <w:r>
              <w:rPr>
                <w:rFonts w:ascii="Times New Roman" w:hAnsi="Times New Roman" w:eastAsia="宋体" w:cs="Times New Roman"/>
                <w:szCs w:val="24"/>
              </w:rPr>
              <w:t>截至2026年9月末，</w:t>
            </w:r>
            <w:bookmarkEnd w:id="6"/>
            <w:bookmarkEnd w:id="7"/>
            <w:bookmarkEnd w:id="8"/>
            <w:r>
              <w:rPr>
                <w:rFonts w:ascii="Times New Roman" w:hAnsi="Times New Roman" w:eastAsia="宋体" w:cs="Times New Roman"/>
                <w:szCs w:val="24"/>
              </w:rPr>
              <w:t>公司应收账款账面价值为15.05亿元，较上年末下降2.48%，表明在收入大幅增长的同时回款情况良好。</w:t>
            </w:r>
          </w:p>
          <w:p w14:paraId="6001ADFD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截至2026年9月末，公司总资产达100.90亿元，较上年末增长23.24%，资产规模首次突破100亿元；净资产34.31亿元，较上年末增长5.23%。</w:t>
            </w:r>
          </w:p>
          <w:p w14:paraId="230B8D61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3、现金流情况</w:t>
            </w:r>
            <w:r>
              <w:rPr>
                <w:rFonts w:ascii="Times New Roman" w:hAnsi="Times New Roman" w:eastAsia="宋体" w:cs="Times New Roman"/>
                <w:szCs w:val="24"/>
              </w:rPr>
              <w:t>：</w:t>
            </w:r>
          </w:p>
          <w:p w14:paraId="3B7C9ED9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2026年前三季度，公司经营活动产生的现金</w:t>
            </w:r>
            <w:bookmarkStart w:id="9" w:name="OLE_LINK7"/>
            <w:bookmarkStart w:id="10" w:name="OLE_LINK6"/>
            <w:r>
              <w:rPr>
                <w:rFonts w:ascii="Times New Roman" w:hAnsi="Times New Roman" w:eastAsia="宋体" w:cs="Times New Roman"/>
                <w:szCs w:val="24"/>
              </w:rPr>
              <w:t>流量</w:t>
            </w:r>
            <w:bookmarkEnd w:id="9"/>
            <w:bookmarkEnd w:id="10"/>
            <w:r>
              <w:rPr>
                <w:rFonts w:ascii="Times New Roman" w:hAnsi="Times New Roman" w:eastAsia="宋体" w:cs="Times New Roman"/>
                <w:szCs w:val="24"/>
              </w:rPr>
              <w:t>净额为2.87亿元，经营活动现金流量净额超过同期净利润水平。</w:t>
            </w:r>
          </w:p>
          <w:p w14:paraId="69585F4C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第二部分：投资者提问交流</w:t>
            </w:r>
          </w:p>
          <w:p w14:paraId="7B038AE0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1、请介绍2026年前三季度营业收入中各业务结构占比，不同业务毛利率情况？</w:t>
            </w:r>
          </w:p>
          <w:p w14:paraId="0C377236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2026年前三季度营业收入中，锂电（含动力电池和储能电池）占比接近70%；非锂电业务收入占比约30%，其中消费电子业务收入占比约19%。毛利率方面，前三季度锂电业务毛利率约24%，较2025年全年数据有明显改善。消费电子等非锂电业务毛利率保持相对稳定。</w:t>
            </w:r>
          </w:p>
          <w:p w14:paraId="46252C07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2、请介绍公司</w:t>
            </w: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今年新签订单及</w: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w:t>2027年利润展望。</w:t>
            </w:r>
          </w:p>
          <w:p w14:paraId="0C7F7EE1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答：今年以来，公司新签订单保持快速增长，截至目前，公司新签订单（含税）达65亿元，已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达成</w:t>
            </w:r>
            <w:r>
              <w:rPr>
                <w:rFonts w:ascii="Times New Roman" w:hAnsi="Times New Roman" w:eastAsia="宋体" w:cs="Times New Roman"/>
                <w:szCs w:val="24"/>
              </w:rPr>
              <w:t>年初设定的全年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订单</w:t>
            </w:r>
            <w:r>
              <w:rPr>
                <w:rFonts w:ascii="Times New Roman" w:hAnsi="Times New Roman" w:eastAsia="宋体" w:cs="Times New Roman"/>
                <w:szCs w:val="24"/>
              </w:rPr>
              <w:t>目标。未来随着订单逐渐转化为收入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，</w:t>
            </w:r>
            <w:r>
              <w:rPr>
                <w:rFonts w:ascii="Times New Roman" w:hAnsi="Times New Roman" w:eastAsia="宋体" w:cs="Times New Roman"/>
                <w:szCs w:val="24"/>
              </w:rPr>
              <w:t>收入规模将进一步提升，叠加规模效应下期间费用率下降，2027年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公司整体</w:t>
            </w:r>
            <w:r>
              <w:rPr>
                <w:rFonts w:ascii="Times New Roman" w:hAnsi="Times New Roman" w:eastAsia="宋体" w:cs="Times New Roman"/>
                <w:szCs w:val="24"/>
              </w:rPr>
              <w:t>盈利能力仍有提升空间。</w:t>
            </w:r>
          </w:p>
          <w:p w14:paraId="7D9F1E29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3、请介绍公司锂电业务2027年新签订单</w:t>
            </w: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展望</w: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w:t>。</w:t>
            </w:r>
          </w:p>
          <w:p w14:paraId="56DDE7F2">
            <w:pPr>
              <w:spacing w:line="360" w:lineRule="auto"/>
              <w:rPr>
                <w:rFonts w:hint="default" w:ascii="Times New Roman" w:hAnsi="Times New Roman" w:eastAsia="宋体" w:cs="Times New Roman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相对于2026年锂电行业订单的高速增长，</w:t>
            </w:r>
            <w:r>
              <w:rPr>
                <w:rFonts w:ascii="Times New Roman" w:hAnsi="Times New Roman" w:eastAsia="宋体" w:cs="Times New Roman"/>
                <w:szCs w:val="24"/>
              </w:rPr>
              <w:t>预计2027年锂电业务订单保持平稳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状态</w:t>
            </w:r>
            <w:r>
              <w:rPr>
                <w:rFonts w:ascii="Times New Roman" w:hAnsi="Times New Roman" w:eastAsia="宋体" w:cs="Times New Roman"/>
                <w:szCs w:val="24"/>
              </w:rPr>
              <w:t>，公司将继续聚焦核心客户，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针对锂电行业新产品迭代带来的设备需求，开发新的产品线。</w:t>
            </w:r>
          </w:p>
          <w:p w14:paraId="46789DCF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4、请介绍公司</w:t>
            </w:r>
            <w:r>
              <w:rPr>
                <w:rFonts w:hint="eastAsia" w:ascii="Times New Roman" w:hAnsi="Times New Roman" w:eastAsia="宋体" w:cs="Times New Roman"/>
                <w:b/>
                <w:szCs w:val="24"/>
              </w:rPr>
              <w:t>今年</w:t>
            </w:r>
            <w:r>
              <w:rPr>
                <w:rFonts w:ascii="Times New Roman" w:hAnsi="Times New Roman" w:eastAsia="宋体" w:cs="Times New Roman"/>
                <w:b/>
                <w:szCs w:val="24"/>
              </w:rPr>
              <w:t>3C消费电子业务及订单情况。</w:t>
            </w:r>
          </w:p>
          <w:p w14:paraId="014F49FB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</w:t>
            </w:r>
            <w:bookmarkStart w:id="11" w:name="OLE_LINK15"/>
            <w:bookmarkStart w:id="12" w:name="OLE_LINK14"/>
            <w:r>
              <w:rPr>
                <w:rFonts w:ascii="Times New Roman" w:hAnsi="Times New Roman" w:eastAsia="宋体" w:cs="Times New Roman"/>
                <w:szCs w:val="24"/>
              </w:rPr>
              <w:t>今年公司3C消费电子业务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及</w:t>
            </w:r>
            <w:r>
              <w:rPr>
                <w:rFonts w:ascii="Times New Roman" w:hAnsi="Times New Roman" w:eastAsia="宋体" w:cs="Times New Roman"/>
                <w:szCs w:val="24"/>
              </w:rPr>
              <w:t>新签订单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预计</w:t>
            </w:r>
            <w:r>
              <w:rPr>
                <w:rFonts w:ascii="Times New Roman" w:hAnsi="Times New Roman" w:eastAsia="宋体" w:cs="Times New Roman"/>
                <w:szCs w:val="24"/>
              </w:rPr>
              <w:t>与去年相比基本持平</w:t>
            </w:r>
            <w:bookmarkEnd w:id="11"/>
            <w:bookmarkEnd w:id="12"/>
            <w:r>
              <w:rPr>
                <w:rFonts w:ascii="Times New Roman" w:hAnsi="Times New Roman" w:eastAsia="宋体" w:cs="Times New Roman"/>
                <w:szCs w:val="24"/>
              </w:rPr>
              <w:t>。公司将继续配合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消费电子</w:t>
            </w:r>
            <w:r>
              <w:rPr>
                <w:rFonts w:ascii="Times New Roman" w:hAnsi="Times New Roman" w:eastAsia="宋体" w:cs="Times New Roman"/>
                <w:szCs w:val="24"/>
              </w:rPr>
              <w:t>客户做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好</w:t>
            </w:r>
            <w:r>
              <w:rPr>
                <w:rFonts w:ascii="Times New Roman" w:hAnsi="Times New Roman" w:eastAsia="宋体" w:cs="Times New Roman"/>
                <w:szCs w:val="24"/>
              </w:rPr>
              <w:t>产品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迭代</w:t>
            </w:r>
            <w:r>
              <w:rPr>
                <w:rFonts w:ascii="Times New Roman" w:hAnsi="Times New Roman" w:eastAsia="宋体" w:cs="Times New Roman"/>
                <w:szCs w:val="24"/>
              </w:rPr>
              <w:t>研发，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对</w:t>
            </w:r>
            <w:r>
              <w:rPr>
                <w:rFonts w:ascii="Times New Roman" w:hAnsi="Times New Roman" w:eastAsia="宋体" w:cs="Times New Roman"/>
                <w:szCs w:val="24"/>
              </w:rPr>
              <w:t>2027年公司3C消费电子业务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保持乐观</w:t>
            </w:r>
            <w:r>
              <w:rPr>
                <w:rFonts w:ascii="Times New Roman" w:hAnsi="Times New Roman" w:eastAsia="宋体" w:cs="Times New Roman"/>
                <w:szCs w:val="24"/>
              </w:rPr>
              <w:t>。</w:t>
            </w:r>
          </w:p>
          <w:p w14:paraId="5AFA298E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5、请介绍钠电池、大圆柱电池和固态电池业务情况。</w:t>
            </w:r>
          </w:p>
          <w:p w14:paraId="1F341C47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答：公司激光焊接设备主要应用于锂电池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产线</w:t>
            </w:r>
            <w:r>
              <w:rPr>
                <w:rFonts w:ascii="Times New Roman" w:hAnsi="Times New Roman" w:eastAsia="宋体" w:cs="Times New Roman"/>
                <w:szCs w:val="24"/>
              </w:rPr>
              <w:t>的中后端，公司提供的设备既可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用于</w:t>
            </w:r>
            <w:r>
              <w:rPr>
                <w:rFonts w:ascii="Times New Roman" w:hAnsi="Times New Roman" w:eastAsia="宋体" w:cs="Times New Roman"/>
                <w:szCs w:val="24"/>
              </w:rPr>
              <w:t>生产锂电池，也可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用于</w:t>
            </w:r>
            <w:r>
              <w:rPr>
                <w:rFonts w:ascii="Times New Roman" w:hAnsi="Times New Roman" w:eastAsia="宋体" w:cs="Times New Roman"/>
                <w:szCs w:val="24"/>
              </w:rPr>
              <w:t>生产钠电池，鉴于钠离子电池的能量密度低于锂电池，单GWH的钠电池对设备需求量更大。</w:t>
            </w:r>
          </w:p>
          <w:p w14:paraId="4FF0905D">
            <w:pPr>
              <w:spacing w:line="360" w:lineRule="auto"/>
              <w:ind w:firstLine="420" w:firstLineChars="200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目前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有多家电池厂和</w:t>
            </w:r>
            <w:r>
              <w:rPr>
                <w:rFonts w:ascii="Times New Roman" w:hAnsi="Times New Roman" w:eastAsia="宋体" w:cs="Times New Roman"/>
                <w:szCs w:val="24"/>
              </w:rPr>
              <w:t>主机厂布局大圆柱电池，公司积极配合客户进行产线研发和试验</w:t>
            </w:r>
            <w:r>
              <w:rPr>
                <w:rFonts w:hint="eastAsia" w:ascii="Times New Roman" w:hAnsi="Times New Roman" w:eastAsia="宋体" w:cs="Times New Roman"/>
                <w:szCs w:val="24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已为多家客户提供了量产设备。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固态电池方面，</w:t>
            </w:r>
            <w:r>
              <w:rPr>
                <w:rFonts w:ascii="Times New Roman" w:hAnsi="Times New Roman" w:eastAsia="宋体" w:cs="Times New Roman"/>
                <w:szCs w:val="24"/>
              </w:rPr>
              <w:t>公司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已</w:t>
            </w:r>
            <w:r>
              <w:rPr>
                <w:rFonts w:ascii="Times New Roman" w:hAnsi="Times New Roman" w:eastAsia="宋体" w:cs="Times New Roman"/>
                <w:szCs w:val="24"/>
              </w:rPr>
              <w:t>向头部客户提供固态电池设备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，</w:t>
            </w:r>
            <w:r>
              <w:rPr>
                <w:rFonts w:ascii="Times New Roman" w:hAnsi="Times New Roman" w:eastAsia="宋体" w:cs="Times New Roman"/>
                <w:szCs w:val="24"/>
              </w:rPr>
              <w:t>目前仍处于试产阶段，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具体</w:t>
            </w:r>
            <w:r>
              <w:rPr>
                <w:rFonts w:ascii="Times New Roman" w:hAnsi="Times New Roman" w:eastAsia="宋体" w:cs="Times New Roman"/>
                <w:szCs w:val="24"/>
              </w:rPr>
              <w:t>量产节奏主要取决于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下游</w:t>
            </w:r>
            <w:r>
              <w:rPr>
                <w:rFonts w:ascii="Times New Roman" w:hAnsi="Times New Roman" w:eastAsia="宋体" w:cs="Times New Roman"/>
                <w:szCs w:val="24"/>
              </w:rPr>
              <w:t>电池厂商。</w:t>
            </w:r>
          </w:p>
          <w:p w14:paraId="3E7A7658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6、请介绍公司光伏等新业务发展情况。</w:t>
            </w:r>
          </w:p>
          <w:p w14:paraId="0E2EC6AD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答：公司子公司创赢光能主要从事光伏设备研发和生产，围绕钙钛矿做产品研发。受光伏行业需求影响，</w:t>
            </w:r>
            <w:r>
              <w:rPr>
                <w:rFonts w:hint="eastAsia" w:ascii="Times New Roman" w:hAnsi="Times New Roman" w:eastAsia="宋体" w:cs="Times New Roman"/>
                <w:szCs w:val="24"/>
              </w:rPr>
              <w:t>目前</w:t>
            </w:r>
            <w:r>
              <w:rPr>
                <w:rFonts w:ascii="Times New Roman" w:hAnsi="Times New Roman" w:eastAsia="宋体" w:cs="Times New Roman"/>
                <w:szCs w:val="24"/>
              </w:rPr>
              <w:t>光伏设备收入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规模较小。</w:t>
            </w:r>
            <w:r>
              <w:rPr>
                <w:rFonts w:ascii="Times New Roman" w:hAnsi="Times New Roman" w:eastAsia="宋体" w:cs="Times New Roman"/>
                <w:szCs w:val="24"/>
              </w:rPr>
              <w:t>创赢光能正积极开拓液冷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设备等其他</w:t>
            </w:r>
            <w:r>
              <w:rPr>
                <w:rFonts w:ascii="Times New Roman" w:hAnsi="Times New Roman" w:eastAsia="宋体" w:cs="Times New Roman"/>
                <w:szCs w:val="24"/>
              </w:rPr>
              <w:t>领域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业务</w:t>
            </w:r>
            <w:r>
              <w:rPr>
                <w:rFonts w:ascii="Times New Roman" w:hAnsi="Times New Roman" w:eastAsia="宋体" w:cs="Times New Roman"/>
                <w:szCs w:val="24"/>
              </w:rPr>
              <w:t>。</w:t>
            </w:r>
          </w:p>
          <w:p w14:paraId="52A6F019">
            <w:pPr>
              <w:spacing w:line="360" w:lineRule="auto"/>
              <w:rPr>
                <w:rFonts w:ascii="Times New Roman" w:hAnsi="Times New Roman" w:eastAsia="宋体" w:cs="Times New Roman"/>
                <w:b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</w:rPr>
              <w:t>7、请介绍公司AGV及光通信业务发展情况。</w:t>
            </w:r>
          </w:p>
          <w:p w14:paraId="5EA60FA8">
            <w:pPr>
              <w:spacing w:line="360" w:lineRule="auto"/>
              <w:rPr>
                <w:rFonts w:ascii="Times New Roman" w:hAnsi="Times New Roman" w:eastAsia="宋体" w:cs="Times New Roman"/>
                <w:szCs w:val="24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答：公司玻璃激光加工设备已向客户提供样机进行技术验证，客户反馈较好。</w:t>
            </w:r>
          </w:p>
          <w:p w14:paraId="51FE62CD">
            <w:pPr>
              <w:spacing w:line="360" w:lineRule="auto"/>
              <w:rPr>
                <w:rFonts w:ascii="Times New Roman" w:hAnsi="Times New Roman" w:eastAsia="宋体" w:cs="Times New Roman"/>
                <w:snapToGrid w:val="0"/>
                <w:color w:val="000000"/>
                <w:spacing w:val="-1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目前已取得该客户的合格供应商资质，</w:t>
            </w:r>
            <w:r>
              <w:rPr>
                <w:rFonts w:hint="eastAsia" w:ascii="Times New Roman" w:hAnsi="Times New Roman" w:eastAsia="宋体" w:cs="Times New Roman"/>
                <w:szCs w:val="24"/>
                <w:lang w:val="en-US" w:eastAsia="zh-CN"/>
              </w:rPr>
              <w:t>近期</w:t>
            </w:r>
            <w:bookmarkStart w:id="15" w:name="_GoBack"/>
            <w:bookmarkEnd w:id="15"/>
            <w:r>
              <w:rPr>
                <w:rFonts w:ascii="Times New Roman" w:hAnsi="Times New Roman" w:eastAsia="宋体" w:cs="Times New Roman"/>
                <w:szCs w:val="24"/>
              </w:rPr>
              <w:t>预计有订单落地。光通信业务主要向国内光模块公司提供激光器，目前该业务收入占比较小，未来成长空间较大。</w:t>
            </w:r>
          </w:p>
        </w:tc>
      </w:tr>
      <w:tr w14:paraId="3DA82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569" w:type="dxa"/>
            <w:vAlign w:val="center"/>
          </w:tcPr>
          <w:p w14:paraId="0C33BCB6">
            <w:pPr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备注</w:t>
            </w:r>
          </w:p>
        </w:tc>
        <w:tc>
          <w:tcPr>
            <w:tcW w:w="7357" w:type="dxa"/>
            <w:gridSpan w:val="2"/>
          </w:tcPr>
          <w:p w14:paraId="35B6B709">
            <w:pPr>
              <w:spacing w:line="36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4"/>
              </w:rPr>
              <w:t>公司与投资者进行了充分的交流与沟通，并严格按照公司《信息披露事务管理制度》等规定，保证信息披露的真实、准确、完整。没有出现未公开重大信息泄露等情况。</w:t>
            </w:r>
          </w:p>
        </w:tc>
      </w:tr>
    </w:tbl>
    <w:p w14:paraId="04CDE828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6793428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1ACE8D8C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附件1《与会机构清单》</w:t>
      </w:r>
    </w:p>
    <w:tbl>
      <w:tblPr>
        <w:tblStyle w:val="9"/>
        <w:tblW w:w="83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7057"/>
      </w:tblGrid>
      <w:tr w14:paraId="0DCB4B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tblHeader/>
          <w:jc w:val="center"/>
        </w:trPr>
        <w:tc>
          <w:tcPr>
            <w:tcW w:w="13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F8553E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</w:rPr>
              <w:t>序号</w:t>
            </w:r>
          </w:p>
        </w:tc>
        <w:tc>
          <w:tcPr>
            <w:tcW w:w="705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EFACF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Cs w:val="21"/>
              </w:rPr>
              <w:t>机构名称</w:t>
            </w:r>
          </w:p>
        </w:tc>
      </w:tr>
      <w:tr w14:paraId="386B2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BA00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bookmarkStart w:id="13" w:name="RANGE!B2"/>
            <w:bookmarkStart w:id="14" w:name="_Hlk244615013"/>
            <w:r>
              <w:rPr>
                <w:rFonts w:ascii="Times New Roman" w:hAnsi="Times New Roman" w:eastAsia="宋体" w:cs="Times New Roman"/>
                <w:bCs/>
                <w:szCs w:val="21"/>
              </w:rPr>
              <w:t>1</w:t>
            </w:r>
            <w:bookmarkEnd w:id="13"/>
          </w:p>
        </w:tc>
        <w:tc>
          <w:tcPr>
            <w:tcW w:w="70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6E70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Auerbach Grayson</w:t>
            </w:r>
          </w:p>
        </w:tc>
      </w:tr>
      <w:tr w14:paraId="3B124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4038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7F6C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IDG资本</w:t>
            </w:r>
          </w:p>
        </w:tc>
      </w:tr>
      <w:tr w14:paraId="4308E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FA24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2537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Polymer Capital Management (HK) Limited</w:t>
            </w:r>
          </w:p>
        </w:tc>
      </w:tr>
      <w:tr w14:paraId="305A97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A72F9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97B4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Value Partners Group</w:t>
            </w:r>
          </w:p>
        </w:tc>
      </w:tr>
      <w:tr w14:paraId="30A4A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5768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0FE3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Willing Capital</w:t>
            </w:r>
          </w:p>
        </w:tc>
      </w:tr>
      <w:tr w14:paraId="16728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A8FC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BD8A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安联保险资产管理有限公司</w:t>
            </w:r>
          </w:p>
        </w:tc>
      </w:tr>
      <w:tr w14:paraId="71B6D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83F1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9B7A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安联基金管理有限公司</w:t>
            </w:r>
          </w:p>
        </w:tc>
      </w:tr>
      <w:tr w14:paraId="188CE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FC00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6B8D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安聯環球投資亞太有限公司</w:t>
            </w:r>
          </w:p>
        </w:tc>
      </w:tr>
      <w:tr w14:paraId="48A28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CB4AE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61D6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百年保险资产管理公司</w:t>
            </w:r>
          </w:p>
        </w:tc>
      </w:tr>
      <w:tr w14:paraId="7E843C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3440B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A38DD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北京高信百诺投资管理有限公司</w:t>
            </w:r>
          </w:p>
        </w:tc>
      </w:tr>
      <w:tr w14:paraId="0FF6F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2EA5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43F8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博时基金管理有限公司</w:t>
            </w:r>
          </w:p>
        </w:tc>
      </w:tr>
      <w:tr w14:paraId="7A8DE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8137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F25E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创金合信基金管理有限公司</w:t>
            </w:r>
          </w:p>
        </w:tc>
      </w:tr>
      <w:tr w14:paraId="2F03AA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974A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AE3A6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德邦基金管理有限公司</w:t>
            </w:r>
          </w:p>
        </w:tc>
      </w:tr>
      <w:tr w14:paraId="3A3CD8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DDCB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9A8C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东北证券股份有限公司</w:t>
            </w:r>
          </w:p>
        </w:tc>
      </w:tr>
      <w:tr w14:paraId="4CC774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5D8E6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C97C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东方阿尔法基金管理有限公司</w:t>
            </w:r>
          </w:p>
        </w:tc>
      </w:tr>
      <w:tr w14:paraId="67A78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AF60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C467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东方财富证券股份有限公司</w:t>
            </w:r>
          </w:p>
        </w:tc>
      </w:tr>
      <w:tr w14:paraId="7C197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1C85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0625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东方基金管理股份有限公司</w:t>
            </w:r>
          </w:p>
        </w:tc>
      </w:tr>
      <w:tr w14:paraId="25CFB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481C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48A6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东方证券股份有限公司</w:t>
            </w:r>
          </w:p>
        </w:tc>
      </w:tr>
      <w:tr w14:paraId="30493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29EF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9BB7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东吴证券股份有限公司</w:t>
            </w:r>
          </w:p>
        </w:tc>
      </w:tr>
      <w:tr w14:paraId="59F64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1359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0E1E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东亚前海证券有限责任公司</w:t>
            </w:r>
          </w:p>
        </w:tc>
      </w:tr>
      <w:tr w14:paraId="20658B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CE57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C38A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方正证券股份有限公司</w:t>
            </w:r>
          </w:p>
        </w:tc>
      </w:tr>
      <w:tr w14:paraId="398FE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FAFC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6FB9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冯源（宁波）私募基金管理有限公司</w:t>
            </w:r>
          </w:p>
        </w:tc>
      </w:tr>
      <w:tr w14:paraId="2D35F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C892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6A07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福州开发区三鑫资产管理有限公司</w:t>
            </w:r>
          </w:p>
        </w:tc>
      </w:tr>
      <w:tr w14:paraId="05DE8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D34F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65EC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富国基金管理有限公司</w:t>
            </w:r>
          </w:p>
        </w:tc>
      </w:tr>
      <w:tr w14:paraId="437E1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0211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35CD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工银安盛资产管理有限公司</w:t>
            </w:r>
          </w:p>
        </w:tc>
      </w:tr>
      <w:tr w14:paraId="71D2A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3B2F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5336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光大保德信基金管理有限公司</w:t>
            </w:r>
          </w:p>
        </w:tc>
      </w:tr>
      <w:tr w14:paraId="0252F7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E454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51DB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光大证券股份有限公司</w:t>
            </w:r>
          </w:p>
        </w:tc>
      </w:tr>
      <w:tr w14:paraId="71B6E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E2F3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6F80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广东恒健投资控股有限公司</w:t>
            </w:r>
          </w:p>
        </w:tc>
      </w:tr>
      <w:tr w14:paraId="6BCF1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8A09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29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5399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国海证券股份有限公司</w:t>
            </w:r>
          </w:p>
        </w:tc>
      </w:tr>
      <w:tr w14:paraId="60B5C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65A5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44A5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国金证券股份有限公司</w:t>
            </w:r>
          </w:p>
        </w:tc>
      </w:tr>
      <w:tr w14:paraId="1762C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6ADD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8E41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国联安基金管理有限公司</w:t>
            </w:r>
          </w:p>
        </w:tc>
      </w:tr>
      <w:tr w14:paraId="38DFC2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C055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5948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国泰海通证券股份有限公司</w:t>
            </w:r>
          </w:p>
        </w:tc>
      </w:tr>
      <w:tr w14:paraId="46F01A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92EF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FB5B7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国投证券股份有限公司</w:t>
            </w:r>
          </w:p>
        </w:tc>
      </w:tr>
      <w:tr w14:paraId="2007D1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38647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3657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国信证券股份有限公司</w:t>
            </w:r>
          </w:p>
        </w:tc>
      </w:tr>
      <w:tr w14:paraId="041922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95A7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FCC3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国药金投(天津)融资租赁有限公司</w:t>
            </w:r>
          </w:p>
        </w:tc>
      </w:tr>
      <w:tr w14:paraId="649A2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41294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D8AE0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海富通基金管理有限公司</w:t>
            </w:r>
          </w:p>
        </w:tc>
      </w:tr>
      <w:tr w14:paraId="4C918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1BB9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5B01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海南省亿能投资有限公司</w:t>
            </w:r>
          </w:p>
        </w:tc>
      </w:tr>
      <w:tr w14:paraId="0BA35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5607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255D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韩国投资信托运用株式会社</w:t>
            </w:r>
          </w:p>
        </w:tc>
      </w:tr>
      <w:tr w14:paraId="73AAB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1278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39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6D30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恒生前海基金管理有限公司</w:t>
            </w:r>
          </w:p>
        </w:tc>
      </w:tr>
      <w:tr w14:paraId="651F5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07F5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30C6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泓铭资本金融控股有限公司</w:t>
            </w:r>
          </w:p>
        </w:tc>
      </w:tr>
      <w:tr w14:paraId="5B3CE2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4B80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1A9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华安基金管理有限公司</w:t>
            </w:r>
          </w:p>
        </w:tc>
      </w:tr>
      <w:tr w14:paraId="551CE6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90CB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9292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华宝兴业基金管理有限公司</w:t>
            </w:r>
          </w:p>
        </w:tc>
      </w:tr>
      <w:tr w14:paraId="12F07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6B00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CDF5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华福证券股份有限公司</w:t>
            </w:r>
          </w:p>
        </w:tc>
      </w:tr>
      <w:tr w14:paraId="5A6E8B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AD73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EC88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华商基金管理有限公司</w:t>
            </w:r>
          </w:p>
        </w:tc>
      </w:tr>
      <w:tr w14:paraId="292581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98AE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2B9F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华泰证券（上海）资产管理有限公司</w:t>
            </w:r>
          </w:p>
        </w:tc>
      </w:tr>
      <w:tr w14:paraId="553AA4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75D2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EE839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华泰证券股份有限公司</w:t>
            </w:r>
          </w:p>
        </w:tc>
      </w:tr>
      <w:tr w14:paraId="586E1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F276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66E9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华泰资产管理有限公司</w:t>
            </w:r>
          </w:p>
        </w:tc>
      </w:tr>
      <w:tr w14:paraId="76970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5248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60CD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华夏基金管理有限公司</w:t>
            </w:r>
          </w:p>
        </w:tc>
      </w:tr>
      <w:tr w14:paraId="5E3A4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668D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49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FE75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华夏理财有限责任公司</w:t>
            </w:r>
          </w:p>
        </w:tc>
      </w:tr>
      <w:tr w14:paraId="6BF286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5FBE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E1CC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华夏未来资本管理有限公司</w:t>
            </w:r>
          </w:p>
        </w:tc>
      </w:tr>
      <w:tr w14:paraId="5BDE87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D2EF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07CB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华鑫证券有限责任公司</w:t>
            </w:r>
          </w:p>
        </w:tc>
      </w:tr>
      <w:tr w14:paraId="59759B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7704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9A247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汇丰晋信基金管理有限公司</w:t>
            </w:r>
          </w:p>
        </w:tc>
      </w:tr>
      <w:tr w14:paraId="19906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0370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DB6A7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汇华理财有限公司</w:t>
            </w:r>
          </w:p>
        </w:tc>
      </w:tr>
      <w:tr w14:paraId="52AE9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96C5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E00B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汇添富基金管理股份有限公司</w:t>
            </w:r>
          </w:p>
        </w:tc>
      </w:tr>
      <w:tr w14:paraId="2C59EB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AD03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B275B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嘉实基金管理有限公司</w:t>
            </w:r>
          </w:p>
        </w:tc>
      </w:tr>
      <w:tr w14:paraId="61E86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BA1F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71DAE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建信基金管理有限责任公司</w:t>
            </w:r>
          </w:p>
        </w:tc>
      </w:tr>
      <w:tr w14:paraId="50D11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B023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20BBC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建信理财有限责任公司</w:t>
            </w:r>
          </w:p>
        </w:tc>
      </w:tr>
      <w:tr w14:paraId="2C13C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1B8E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F491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江苏瑞华投资控股集团有限公司</w:t>
            </w:r>
          </w:p>
        </w:tc>
      </w:tr>
      <w:tr w14:paraId="5A75E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FA16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59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F448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江信基金管理有限公司</w:t>
            </w:r>
          </w:p>
        </w:tc>
      </w:tr>
      <w:tr w14:paraId="1A1974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5EFF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F35BE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金鹰基金管理有限公司</w:t>
            </w:r>
          </w:p>
        </w:tc>
      </w:tr>
      <w:tr w14:paraId="62E7D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770E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A4233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巨杉(上海)资产管理有限公司</w:t>
            </w:r>
          </w:p>
        </w:tc>
      </w:tr>
      <w:tr w14:paraId="234E2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1B274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BDFAD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开源证券股份有限公司</w:t>
            </w:r>
          </w:p>
        </w:tc>
      </w:tr>
      <w:tr w14:paraId="4C1638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B55A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E0908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兰馨亚洲投资集团</w:t>
            </w:r>
          </w:p>
        </w:tc>
      </w:tr>
      <w:tr w14:paraId="1F9E9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8F6F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A679E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南方基金管理股份有限公司</w:t>
            </w:r>
          </w:p>
        </w:tc>
      </w:tr>
      <w:tr w14:paraId="48F4F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7DD2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BB994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上海宁泉资产管理有限公司</w:t>
            </w:r>
          </w:p>
        </w:tc>
      </w:tr>
      <w:tr w14:paraId="7EC100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BA0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E02A3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宁银理财有限责任公司</w:t>
            </w:r>
          </w:p>
        </w:tc>
      </w:tr>
      <w:tr w14:paraId="0FF88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FFFD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77620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诺安基金管理有限公司</w:t>
            </w:r>
          </w:p>
        </w:tc>
      </w:tr>
      <w:tr w14:paraId="2FA2C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CC85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ED88B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鹏华基金管理有限公司</w:t>
            </w:r>
          </w:p>
        </w:tc>
      </w:tr>
      <w:tr w14:paraId="38F60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EEAE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69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6738A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平安基金管理有限公司</w:t>
            </w:r>
          </w:p>
        </w:tc>
      </w:tr>
      <w:tr w14:paraId="2F1A5C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2519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C1710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浦银安盛基金管理有限公司</w:t>
            </w:r>
          </w:p>
        </w:tc>
      </w:tr>
      <w:tr w14:paraId="42F028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3133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1515C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前海开源基金管理有限公司</w:t>
            </w:r>
          </w:p>
        </w:tc>
      </w:tr>
      <w:tr w14:paraId="7E804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A3C4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F823C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融通基金管理有限公司</w:t>
            </w:r>
          </w:p>
        </w:tc>
      </w:tr>
      <w:tr w14:paraId="01089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60EC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D23A0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睿远基金管理有限公司</w:t>
            </w:r>
          </w:p>
        </w:tc>
      </w:tr>
      <w:tr w14:paraId="1C3194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CE4A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BDAB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三井住友德思资产管理股份有限公司</w:t>
            </w:r>
          </w:p>
        </w:tc>
      </w:tr>
      <w:tr w14:paraId="20A24C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39D0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7ADDF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山西证券股份有限公司</w:t>
            </w:r>
          </w:p>
        </w:tc>
      </w:tr>
      <w:tr w14:paraId="41755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17FC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A044A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上海常春藤投资控股有限公司</w:t>
            </w:r>
          </w:p>
        </w:tc>
      </w:tr>
      <w:tr w14:paraId="578A3A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0DD2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90153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上海乘富投资管理有限公司</w:t>
            </w:r>
          </w:p>
        </w:tc>
      </w:tr>
      <w:tr w14:paraId="4CFAD0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17CC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7CD4C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上海东方证券资产管理有限公司</w:t>
            </w:r>
          </w:p>
        </w:tc>
      </w:tr>
      <w:tr w14:paraId="51C9FF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251BA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79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37B9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上海光大证券资产管理有限公司</w:t>
            </w:r>
          </w:p>
        </w:tc>
      </w:tr>
      <w:tr w14:paraId="15768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0121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A3A17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上海恒穗资产管理中心</w:t>
            </w:r>
          </w:p>
        </w:tc>
      </w:tr>
      <w:tr w14:paraId="2E841D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7D59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A9508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上海嘉世私募基金管理有限公司</w:t>
            </w:r>
          </w:p>
        </w:tc>
      </w:tr>
      <w:tr w14:paraId="25BA6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C650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6DB4B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上海聚鸣投资管理有限公司</w:t>
            </w:r>
          </w:p>
        </w:tc>
      </w:tr>
      <w:tr w14:paraId="11A7F0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FE27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7FC4A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上海坤阳资产管理有限公司</w:t>
            </w:r>
          </w:p>
        </w:tc>
      </w:tr>
      <w:tr w14:paraId="5BBC11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F4E7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01BCF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上海民发创任企业管理有限公司</w:t>
            </w:r>
          </w:p>
        </w:tc>
      </w:tr>
      <w:tr w14:paraId="5E27A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FC70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846BC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上海南部投资(集团)有限公司</w:t>
            </w:r>
          </w:p>
        </w:tc>
      </w:tr>
      <w:tr w14:paraId="1CD81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94A0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EA555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上海鹏山资产管理有限公司</w:t>
            </w:r>
          </w:p>
        </w:tc>
      </w:tr>
      <w:tr w14:paraId="03DEC9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1482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CA02E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申万宏源证券有限公司</w:t>
            </w:r>
          </w:p>
        </w:tc>
      </w:tr>
      <w:tr w14:paraId="3F216F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00AC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91C5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上海鑫垣私募基金管理有限公司</w:t>
            </w:r>
          </w:p>
        </w:tc>
      </w:tr>
      <w:tr w14:paraId="0A347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AF3C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89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F6C6C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上海姚泾河私募基金管理有限公司</w:t>
            </w:r>
          </w:p>
        </w:tc>
      </w:tr>
      <w:tr w14:paraId="7A49EF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2B8C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384F6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上海涌贝资产管理有限公司</w:t>
            </w:r>
          </w:p>
        </w:tc>
      </w:tr>
      <w:tr w14:paraId="066E0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B620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9C9E3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上海侏罗纪资产管理合伙企业（有限合伙）</w:t>
            </w:r>
          </w:p>
        </w:tc>
      </w:tr>
      <w:tr w14:paraId="3147D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45FC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AC3A5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申万菱信基金管理有限公司</w:t>
            </w:r>
          </w:p>
        </w:tc>
      </w:tr>
      <w:tr w14:paraId="1C017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253A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2F273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 xml:space="preserve">上海世诚投资管理有限公司 </w:t>
            </w:r>
          </w:p>
        </w:tc>
      </w:tr>
      <w:tr w14:paraId="2D59C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D76930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EB424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太平洋资产管理有限责任公司</w:t>
            </w:r>
          </w:p>
        </w:tc>
      </w:tr>
      <w:tr w14:paraId="243982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1053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D33F8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太平养老保险股份有限公司</w:t>
            </w:r>
          </w:p>
        </w:tc>
      </w:tr>
      <w:tr w14:paraId="4667E9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D5BA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C1D72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太平资产管理有限公司</w:t>
            </w:r>
          </w:p>
        </w:tc>
      </w:tr>
      <w:tr w14:paraId="5814BA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6257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58A73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泰信基金管理有限公司</w:t>
            </w:r>
          </w:p>
        </w:tc>
      </w:tr>
      <w:tr w14:paraId="11DB6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337C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8F19B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天风（上海）证券资产管理有限公司</w:t>
            </w:r>
          </w:p>
        </w:tc>
      </w:tr>
      <w:tr w14:paraId="4486EE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A58E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99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0E0A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天风证券股份有限公司</w:t>
            </w:r>
          </w:p>
        </w:tc>
      </w:tr>
      <w:tr w14:paraId="71C0B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B7B0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5B971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天治基金管理有限公司</w:t>
            </w:r>
          </w:p>
        </w:tc>
      </w:tr>
      <w:tr w14:paraId="7AE70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7B44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4CEB2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西部利得基金管理有限公司</w:t>
            </w:r>
          </w:p>
        </w:tc>
      </w:tr>
      <w:tr w14:paraId="1AF81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53B9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EB827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西部证券股份有限公司</w:t>
            </w:r>
          </w:p>
        </w:tc>
      </w:tr>
      <w:tr w14:paraId="666D6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F764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4A24A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西南证券股份有限公司</w:t>
            </w:r>
          </w:p>
        </w:tc>
      </w:tr>
      <w:tr w14:paraId="264DE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9E1C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8805A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新华基金管理股份有限公司</w:t>
            </w:r>
          </w:p>
        </w:tc>
      </w:tr>
      <w:tr w14:paraId="52EB4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8482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B550D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新华资产管理股份有限公司</w:t>
            </w:r>
          </w:p>
        </w:tc>
      </w:tr>
      <w:tr w14:paraId="35675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1390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75EF3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新沃基金管理有限公司</w:t>
            </w:r>
          </w:p>
        </w:tc>
      </w:tr>
      <w:tr w14:paraId="3E29F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9C27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36676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信达澳亚基金管理有限公司</w:t>
            </w:r>
          </w:p>
        </w:tc>
      </w:tr>
      <w:tr w14:paraId="690E07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33B0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CC1A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兴业基金管理有限公司</w:t>
            </w:r>
          </w:p>
        </w:tc>
      </w:tr>
      <w:tr w14:paraId="7D468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EA4E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109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490B6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兴业银行股份有限公司</w:t>
            </w:r>
          </w:p>
        </w:tc>
      </w:tr>
      <w:tr w14:paraId="57CDC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AF0BE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32756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兴业证券股份有限公司</w:t>
            </w:r>
          </w:p>
        </w:tc>
      </w:tr>
      <w:tr w14:paraId="5640A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7B011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E50D6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亚太财产保险有限公司</w:t>
            </w:r>
          </w:p>
        </w:tc>
      </w:tr>
      <w:tr w14:paraId="65F18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85C7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4F4406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野村东方国际证券有限公司</w:t>
            </w:r>
          </w:p>
        </w:tc>
      </w:tr>
      <w:tr w14:paraId="7AB02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CF5C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2EAD0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银河基金管理有限公司</w:t>
            </w:r>
          </w:p>
        </w:tc>
      </w:tr>
      <w:tr w14:paraId="5C2052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30272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C11B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银河证券股份有限公司</w:t>
            </w:r>
          </w:p>
        </w:tc>
      </w:tr>
      <w:tr w14:paraId="4038A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CBAF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6DE00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银华基金管理股份有限公司</w:t>
            </w:r>
          </w:p>
        </w:tc>
      </w:tr>
      <w:tr w14:paraId="2FDEE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8CE6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42B9C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永赢基金管理有限公司</w:t>
            </w:r>
          </w:p>
        </w:tc>
      </w:tr>
      <w:tr w14:paraId="6C4147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DC1B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AE355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圆信永丰基金管理有限公司</w:t>
            </w:r>
          </w:p>
        </w:tc>
      </w:tr>
      <w:tr w14:paraId="552E8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27DC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50648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长城基金管理有限公司</w:t>
            </w:r>
          </w:p>
        </w:tc>
      </w:tr>
      <w:tr w14:paraId="57720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BB2A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119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424C33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长江证券股份有限公司</w:t>
            </w:r>
          </w:p>
        </w:tc>
      </w:tr>
      <w:tr w14:paraId="64EF6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D864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65C4B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招商证券股份有限公司</w:t>
            </w:r>
          </w:p>
        </w:tc>
      </w:tr>
      <w:tr w14:paraId="2257C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64081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121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D57E3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招银理财有限责任公司</w:t>
            </w:r>
          </w:p>
        </w:tc>
      </w:tr>
      <w:tr w14:paraId="47AC4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EFB9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122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E5DF1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浙商证券股份有限公司</w:t>
            </w:r>
          </w:p>
        </w:tc>
      </w:tr>
      <w:tr w14:paraId="0CBB1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7BB4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123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E88ECC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中国国际金融股份有限公司</w:t>
            </w:r>
          </w:p>
        </w:tc>
      </w:tr>
      <w:tr w14:paraId="3D89C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0103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124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0AC73A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中國東方國際資產管理有限公司</w:t>
            </w:r>
          </w:p>
        </w:tc>
      </w:tr>
      <w:tr w14:paraId="5D8862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2B7C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125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A156B7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中欧基金管理有限公司</w:t>
            </w:r>
          </w:p>
        </w:tc>
      </w:tr>
      <w:tr w14:paraId="79DA2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70924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126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36800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中泰证券股份有限公司</w:t>
            </w:r>
          </w:p>
        </w:tc>
      </w:tr>
      <w:tr w14:paraId="6220AF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E1D1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127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7E1CB8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中信证券股份有限公司</w:t>
            </w:r>
          </w:p>
        </w:tc>
      </w:tr>
      <w:tr w14:paraId="25103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F7C52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128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81225D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中信建投证券股份有限公司</w:t>
            </w:r>
          </w:p>
        </w:tc>
      </w:tr>
      <w:tr w14:paraId="29A779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C98B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129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B5DB9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中意资产管理有限责任公司</w:t>
            </w:r>
          </w:p>
        </w:tc>
      </w:tr>
      <w:tr w14:paraId="5C91E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3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556E5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bCs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szCs w:val="21"/>
              </w:rPr>
              <w:t>130</w:t>
            </w:r>
          </w:p>
        </w:tc>
        <w:tc>
          <w:tcPr>
            <w:tcW w:w="70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35ADF">
            <w:pPr>
              <w:widowControl/>
              <w:spacing w:line="360" w:lineRule="auto"/>
              <w:jc w:val="left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中银国际资产管理有限公司</w:t>
            </w:r>
          </w:p>
        </w:tc>
      </w:tr>
      <w:bookmarkEnd w:id="14"/>
    </w:tbl>
    <w:p w14:paraId="2D2E5061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sz w:val="24"/>
          <w:szCs w:val="24"/>
        </w:rPr>
      </w:pPr>
    </w:p>
    <w:p w14:paraId="64CE6F07">
      <w:pPr>
        <w:widowControl/>
        <w:spacing w:line="360" w:lineRule="auto"/>
        <w:jc w:val="left"/>
        <w:rPr>
          <w:rFonts w:ascii="Times New Roman" w:hAnsi="Times New Roman" w:eastAsia="宋体" w:cs="Times New Roman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zYzU4MzBkMWExZWFmZDljOGNmZjQyZTFjYWU2YjIifQ=="/>
  </w:docVars>
  <w:rsids>
    <w:rsidRoot w:val="00915840"/>
    <w:rsid w:val="000010C5"/>
    <w:rsid w:val="00003534"/>
    <w:rsid w:val="0000539E"/>
    <w:rsid w:val="00006FF4"/>
    <w:rsid w:val="00007868"/>
    <w:rsid w:val="00011AC7"/>
    <w:rsid w:val="00016D17"/>
    <w:rsid w:val="00017345"/>
    <w:rsid w:val="00017F36"/>
    <w:rsid w:val="000237B0"/>
    <w:rsid w:val="00030B16"/>
    <w:rsid w:val="00035D93"/>
    <w:rsid w:val="00035F71"/>
    <w:rsid w:val="000372DF"/>
    <w:rsid w:val="000409BA"/>
    <w:rsid w:val="00050A8F"/>
    <w:rsid w:val="00054F33"/>
    <w:rsid w:val="00056D38"/>
    <w:rsid w:val="00057A48"/>
    <w:rsid w:val="000606BA"/>
    <w:rsid w:val="00063228"/>
    <w:rsid w:val="00071B55"/>
    <w:rsid w:val="0007575A"/>
    <w:rsid w:val="00076021"/>
    <w:rsid w:val="00076E99"/>
    <w:rsid w:val="000813AC"/>
    <w:rsid w:val="00084A54"/>
    <w:rsid w:val="00085371"/>
    <w:rsid w:val="0008628B"/>
    <w:rsid w:val="00091DFC"/>
    <w:rsid w:val="00094210"/>
    <w:rsid w:val="00096EFA"/>
    <w:rsid w:val="000A175C"/>
    <w:rsid w:val="000A3FDD"/>
    <w:rsid w:val="000A4AFA"/>
    <w:rsid w:val="000A4F9B"/>
    <w:rsid w:val="000A546D"/>
    <w:rsid w:val="000A74C3"/>
    <w:rsid w:val="000B6998"/>
    <w:rsid w:val="000B6E8D"/>
    <w:rsid w:val="000C654C"/>
    <w:rsid w:val="000D40A3"/>
    <w:rsid w:val="000E4635"/>
    <w:rsid w:val="00100287"/>
    <w:rsid w:val="00100983"/>
    <w:rsid w:val="00104920"/>
    <w:rsid w:val="0011067F"/>
    <w:rsid w:val="00111455"/>
    <w:rsid w:val="00115F09"/>
    <w:rsid w:val="0012082F"/>
    <w:rsid w:val="001223A2"/>
    <w:rsid w:val="0012710F"/>
    <w:rsid w:val="00130BB4"/>
    <w:rsid w:val="00136FE9"/>
    <w:rsid w:val="00144AF1"/>
    <w:rsid w:val="00146EA8"/>
    <w:rsid w:val="00150BC7"/>
    <w:rsid w:val="00155C52"/>
    <w:rsid w:val="00156773"/>
    <w:rsid w:val="00171309"/>
    <w:rsid w:val="001746A3"/>
    <w:rsid w:val="00174F51"/>
    <w:rsid w:val="00177E51"/>
    <w:rsid w:val="00183686"/>
    <w:rsid w:val="00190408"/>
    <w:rsid w:val="001B2FB6"/>
    <w:rsid w:val="001B3224"/>
    <w:rsid w:val="001B464D"/>
    <w:rsid w:val="001C0124"/>
    <w:rsid w:val="001C490B"/>
    <w:rsid w:val="001C66B4"/>
    <w:rsid w:val="001D4C7A"/>
    <w:rsid w:val="001D596A"/>
    <w:rsid w:val="001D6D30"/>
    <w:rsid w:val="001E4C68"/>
    <w:rsid w:val="001E7C99"/>
    <w:rsid w:val="001F295C"/>
    <w:rsid w:val="001F4A4D"/>
    <w:rsid w:val="001F6979"/>
    <w:rsid w:val="00203869"/>
    <w:rsid w:val="00204AE1"/>
    <w:rsid w:val="00210F63"/>
    <w:rsid w:val="002111F7"/>
    <w:rsid w:val="00214215"/>
    <w:rsid w:val="002170AE"/>
    <w:rsid w:val="00222DC0"/>
    <w:rsid w:val="002363B1"/>
    <w:rsid w:val="0023651A"/>
    <w:rsid w:val="00243493"/>
    <w:rsid w:val="002454D9"/>
    <w:rsid w:val="00256422"/>
    <w:rsid w:val="00257F58"/>
    <w:rsid w:val="00262452"/>
    <w:rsid w:val="00282E17"/>
    <w:rsid w:val="00285EE9"/>
    <w:rsid w:val="0028656A"/>
    <w:rsid w:val="00287206"/>
    <w:rsid w:val="00290BE9"/>
    <w:rsid w:val="0029208A"/>
    <w:rsid w:val="002A031E"/>
    <w:rsid w:val="002A0F83"/>
    <w:rsid w:val="002C2F43"/>
    <w:rsid w:val="002C4718"/>
    <w:rsid w:val="002C7A78"/>
    <w:rsid w:val="002D1104"/>
    <w:rsid w:val="002D4F2F"/>
    <w:rsid w:val="002D5BA5"/>
    <w:rsid w:val="002D5F13"/>
    <w:rsid w:val="002D685F"/>
    <w:rsid w:val="002D7753"/>
    <w:rsid w:val="002E03A4"/>
    <w:rsid w:val="002E25A3"/>
    <w:rsid w:val="002E5DF1"/>
    <w:rsid w:val="002F2796"/>
    <w:rsid w:val="002F31C0"/>
    <w:rsid w:val="003000CE"/>
    <w:rsid w:val="003113BA"/>
    <w:rsid w:val="003147C7"/>
    <w:rsid w:val="00316683"/>
    <w:rsid w:val="0032461C"/>
    <w:rsid w:val="00324818"/>
    <w:rsid w:val="0032607E"/>
    <w:rsid w:val="00326D94"/>
    <w:rsid w:val="00336C84"/>
    <w:rsid w:val="00341431"/>
    <w:rsid w:val="003424AF"/>
    <w:rsid w:val="00350612"/>
    <w:rsid w:val="00363F83"/>
    <w:rsid w:val="0037129E"/>
    <w:rsid w:val="00372684"/>
    <w:rsid w:val="00377906"/>
    <w:rsid w:val="00380529"/>
    <w:rsid w:val="0038080C"/>
    <w:rsid w:val="00381307"/>
    <w:rsid w:val="00384A67"/>
    <w:rsid w:val="003862F3"/>
    <w:rsid w:val="00391379"/>
    <w:rsid w:val="003918EF"/>
    <w:rsid w:val="00395A38"/>
    <w:rsid w:val="00395EFB"/>
    <w:rsid w:val="003A1EF9"/>
    <w:rsid w:val="003A3AF5"/>
    <w:rsid w:val="003A47A4"/>
    <w:rsid w:val="003A47F9"/>
    <w:rsid w:val="003A7241"/>
    <w:rsid w:val="003B220A"/>
    <w:rsid w:val="003C11E1"/>
    <w:rsid w:val="003C4AA8"/>
    <w:rsid w:val="003D0380"/>
    <w:rsid w:val="003D700F"/>
    <w:rsid w:val="003F3EDF"/>
    <w:rsid w:val="004023AD"/>
    <w:rsid w:val="004059F9"/>
    <w:rsid w:val="00406741"/>
    <w:rsid w:val="00411829"/>
    <w:rsid w:val="0042743E"/>
    <w:rsid w:val="00430661"/>
    <w:rsid w:val="00430AC5"/>
    <w:rsid w:val="0043605E"/>
    <w:rsid w:val="0043753C"/>
    <w:rsid w:val="00457880"/>
    <w:rsid w:val="00464734"/>
    <w:rsid w:val="00464DC4"/>
    <w:rsid w:val="00465893"/>
    <w:rsid w:val="004848C9"/>
    <w:rsid w:val="00486757"/>
    <w:rsid w:val="00487185"/>
    <w:rsid w:val="00490511"/>
    <w:rsid w:val="00492F7D"/>
    <w:rsid w:val="00493417"/>
    <w:rsid w:val="004A1577"/>
    <w:rsid w:val="004A3A26"/>
    <w:rsid w:val="004A52CF"/>
    <w:rsid w:val="004A6460"/>
    <w:rsid w:val="004A7D10"/>
    <w:rsid w:val="004B77BA"/>
    <w:rsid w:val="004C016E"/>
    <w:rsid w:val="004C3808"/>
    <w:rsid w:val="004C770A"/>
    <w:rsid w:val="004D0E59"/>
    <w:rsid w:val="004D3313"/>
    <w:rsid w:val="004E6280"/>
    <w:rsid w:val="004E6AB8"/>
    <w:rsid w:val="004F0C6B"/>
    <w:rsid w:val="00500D81"/>
    <w:rsid w:val="00504F6E"/>
    <w:rsid w:val="00507006"/>
    <w:rsid w:val="00522BE6"/>
    <w:rsid w:val="005235B3"/>
    <w:rsid w:val="00524B86"/>
    <w:rsid w:val="005265EF"/>
    <w:rsid w:val="005365EA"/>
    <w:rsid w:val="00540E61"/>
    <w:rsid w:val="00543798"/>
    <w:rsid w:val="00546F10"/>
    <w:rsid w:val="005556AC"/>
    <w:rsid w:val="0055758E"/>
    <w:rsid w:val="0057140C"/>
    <w:rsid w:val="005750EE"/>
    <w:rsid w:val="00580B6A"/>
    <w:rsid w:val="0059514A"/>
    <w:rsid w:val="005B1CF1"/>
    <w:rsid w:val="005B5792"/>
    <w:rsid w:val="005B6279"/>
    <w:rsid w:val="005C0516"/>
    <w:rsid w:val="005C2447"/>
    <w:rsid w:val="005C5C93"/>
    <w:rsid w:val="005C6958"/>
    <w:rsid w:val="005C71E0"/>
    <w:rsid w:val="005D4345"/>
    <w:rsid w:val="005E0FF4"/>
    <w:rsid w:val="005E45CD"/>
    <w:rsid w:val="005E4945"/>
    <w:rsid w:val="005F3C76"/>
    <w:rsid w:val="005F4BEF"/>
    <w:rsid w:val="005F5676"/>
    <w:rsid w:val="00601A07"/>
    <w:rsid w:val="00603BB2"/>
    <w:rsid w:val="006053E4"/>
    <w:rsid w:val="006101F0"/>
    <w:rsid w:val="00614BD1"/>
    <w:rsid w:val="00620E43"/>
    <w:rsid w:val="006240F5"/>
    <w:rsid w:val="00635BCA"/>
    <w:rsid w:val="0063647F"/>
    <w:rsid w:val="00654A9F"/>
    <w:rsid w:val="006571E3"/>
    <w:rsid w:val="00662E84"/>
    <w:rsid w:val="00666603"/>
    <w:rsid w:val="00670383"/>
    <w:rsid w:val="006714A7"/>
    <w:rsid w:val="00672C3D"/>
    <w:rsid w:val="00674E63"/>
    <w:rsid w:val="006751F9"/>
    <w:rsid w:val="00680AA8"/>
    <w:rsid w:val="00684585"/>
    <w:rsid w:val="00686CCE"/>
    <w:rsid w:val="0069201E"/>
    <w:rsid w:val="006A5D2A"/>
    <w:rsid w:val="006A6E5B"/>
    <w:rsid w:val="006B4755"/>
    <w:rsid w:val="006C425F"/>
    <w:rsid w:val="006C6657"/>
    <w:rsid w:val="006C66F8"/>
    <w:rsid w:val="006D1319"/>
    <w:rsid w:val="006D4217"/>
    <w:rsid w:val="006D4C2D"/>
    <w:rsid w:val="006D6948"/>
    <w:rsid w:val="006D72DD"/>
    <w:rsid w:val="006E0DF7"/>
    <w:rsid w:val="006E57AD"/>
    <w:rsid w:val="006F286E"/>
    <w:rsid w:val="00714709"/>
    <w:rsid w:val="00716E0C"/>
    <w:rsid w:val="00721861"/>
    <w:rsid w:val="007219EF"/>
    <w:rsid w:val="00723697"/>
    <w:rsid w:val="00723D79"/>
    <w:rsid w:val="0072431F"/>
    <w:rsid w:val="007263BA"/>
    <w:rsid w:val="007269DC"/>
    <w:rsid w:val="00726D55"/>
    <w:rsid w:val="007271D9"/>
    <w:rsid w:val="00727BB1"/>
    <w:rsid w:val="00735DE9"/>
    <w:rsid w:val="00736856"/>
    <w:rsid w:val="0074072D"/>
    <w:rsid w:val="00740F26"/>
    <w:rsid w:val="007435E5"/>
    <w:rsid w:val="007504F6"/>
    <w:rsid w:val="00756FF4"/>
    <w:rsid w:val="00757414"/>
    <w:rsid w:val="007577E2"/>
    <w:rsid w:val="00757A5E"/>
    <w:rsid w:val="00761E3B"/>
    <w:rsid w:val="00766FD5"/>
    <w:rsid w:val="00774E34"/>
    <w:rsid w:val="00776904"/>
    <w:rsid w:val="00783632"/>
    <w:rsid w:val="007874C5"/>
    <w:rsid w:val="00796321"/>
    <w:rsid w:val="007A03D7"/>
    <w:rsid w:val="007A28DD"/>
    <w:rsid w:val="007A292D"/>
    <w:rsid w:val="007A36CF"/>
    <w:rsid w:val="007A6813"/>
    <w:rsid w:val="007B05EE"/>
    <w:rsid w:val="007B0DE3"/>
    <w:rsid w:val="007B4361"/>
    <w:rsid w:val="007B5683"/>
    <w:rsid w:val="007B5C1F"/>
    <w:rsid w:val="007B6D89"/>
    <w:rsid w:val="007B77B8"/>
    <w:rsid w:val="007C3D46"/>
    <w:rsid w:val="007C4A6A"/>
    <w:rsid w:val="007C6629"/>
    <w:rsid w:val="007D1A04"/>
    <w:rsid w:val="007D4C5F"/>
    <w:rsid w:val="007E16FD"/>
    <w:rsid w:val="007E226E"/>
    <w:rsid w:val="007E3BE0"/>
    <w:rsid w:val="007E6EB6"/>
    <w:rsid w:val="007F5638"/>
    <w:rsid w:val="007F786F"/>
    <w:rsid w:val="00803C63"/>
    <w:rsid w:val="0081131D"/>
    <w:rsid w:val="00812311"/>
    <w:rsid w:val="00816C5E"/>
    <w:rsid w:val="00817B9F"/>
    <w:rsid w:val="00824ADD"/>
    <w:rsid w:val="00827412"/>
    <w:rsid w:val="008275DA"/>
    <w:rsid w:val="00840C3F"/>
    <w:rsid w:val="00845ED4"/>
    <w:rsid w:val="00852AA0"/>
    <w:rsid w:val="00866D1B"/>
    <w:rsid w:val="00874223"/>
    <w:rsid w:val="00881B17"/>
    <w:rsid w:val="00886760"/>
    <w:rsid w:val="00886766"/>
    <w:rsid w:val="008A7B7F"/>
    <w:rsid w:val="008B0941"/>
    <w:rsid w:val="008B13EE"/>
    <w:rsid w:val="008B1997"/>
    <w:rsid w:val="008C1876"/>
    <w:rsid w:val="008C1CFC"/>
    <w:rsid w:val="008C23FC"/>
    <w:rsid w:val="008C3A50"/>
    <w:rsid w:val="008D4B68"/>
    <w:rsid w:val="008D4D43"/>
    <w:rsid w:val="008D7192"/>
    <w:rsid w:val="008D7621"/>
    <w:rsid w:val="008D7BDE"/>
    <w:rsid w:val="008E2FDD"/>
    <w:rsid w:val="008E3265"/>
    <w:rsid w:val="008E3734"/>
    <w:rsid w:val="008F4884"/>
    <w:rsid w:val="00900039"/>
    <w:rsid w:val="00905873"/>
    <w:rsid w:val="00915840"/>
    <w:rsid w:val="0092443E"/>
    <w:rsid w:val="00926E43"/>
    <w:rsid w:val="00940AB9"/>
    <w:rsid w:val="00956B76"/>
    <w:rsid w:val="00963450"/>
    <w:rsid w:val="00965899"/>
    <w:rsid w:val="00975AF4"/>
    <w:rsid w:val="0098016E"/>
    <w:rsid w:val="00981AD1"/>
    <w:rsid w:val="0098416E"/>
    <w:rsid w:val="00991978"/>
    <w:rsid w:val="0099443F"/>
    <w:rsid w:val="009A78AE"/>
    <w:rsid w:val="009B2EFF"/>
    <w:rsid w:val="009C1B22"/>
    <w:rsid w:val="009C5FE6"/>
    <w:rsid w:val="009C6464"/>
    <w:rsid w:val="009D1A00"/>
    <w:rsid w:val="009E00A6"/>
    <w:rsid w:val="009E6B30"/>
    <w:rsid w:val="009F0EAC"/>
    <w:rsid w:val="009F51E3"/>
    <w:rsid w:val="009F6E18"/>
    <w:rsid w:val="00A0197F"/>
    <w:rsid w:val="00A071DA"/>
    <w:rsid w:val="00A1146B"/>
    <w:rsid w:val="00A11AAF"/>
    <w:rsid w:val="00A13B98"/>
    <w:rsid w:val="00A13CAD"/>
    <w:rsid w:val="00A14C71"/>
    <w:rsid w:val="00A23C07"/>
    <w:rsid w:val="00A24544"/>
    <w:rsid w:val="00A40412"/>
    <w:rsid w:val="00A54B2E"/>
    <w:rsid w:val="00A60C75"/>
    <w:rsid w:val="00A62397"/>
    <w:rsid w:val="00A625FB"/>
    <w:rsid w:val="00A66E85"/>
    <w:rsid w:val="00A71284"/>
    <w:rsid w:val="00A7498C"/>
    <w:rsid w:val="00A82C44"/>
    <w:rsid w:val="00A82DE5"/>
    <w:rsid w:val="00A84687"/>
    <w:rsid w:val="00A85101"/>
    <w:rsid w:val="00A87FDF"/>
    <w:rsid w:val="00A90704"/>
    <w:rsid w:val="00A926A6"/>
    <w:rsid w:val="00AA307E"/>
    <w:rsid w:val="00AA6CBF"/>
    <w:rsid w:val="00AB205B"/>
    <w:rsid w:val="00AB620E"/>
    <w:rsid w:val="00AE177F"/>
    <w:rsid w:val="00AE42C9"/>
    <w:rsid w:val="00AE4E74"/>
    <w:rsid w:val="00AE530E"/>
    <w:rsid w:val="00AF040C"/>
    <w:rsid w:val="00AF0478"/>
    <w:rsid w:val="00AF0B74"/>
    <w:rsid w:val="00AF3E45"/>
    <w:rsid w:val="00AF49BF"/>
    <w:rsid w:val="00AF4B9D"/>
    <w:rsid w:val="00B0399E"/>
    <w:rsid w:val="00B107A4"/>
    <w:rsid w:val="00B136BE"/>
    <w:rsid w:val="00B20112"/>
    <w:rsid w:val="00B201E3"/>
    <w:rsid w:val="00B203B4"/>
    <w:rsid w:val="00B2522A"/>
    <w:rsid w:val="00B25A31"/>
    <w:rsid w:val="00B43F22"/>
    <w:rsid w:val="00B54175"/>
    <w:rsid w:val="00B603FE"/>
    <w:rsid w:val="00B6083B"/>
    <w:rsid w:val="00B61901"/>
    <w:rsid w:val="00B6534C"/>
    <w:rsid w:val="00B67C73"/>
    <w:rsid w:val="00B74C8A"/>
    <w:rsid w:val="00B76FE0"/>
    <w:rsid w:val="00B83F70"/>
    <w:rsid w:val="00B84B37"/>
    <w:rsid w:val="00B85119"/>
    <w:rsid w:val="00B85A06"/>
    <w:rsid w:val="00B906EB"/>
    <w:rsid w:val="00BA3F5B"/>
    <w:rsid w:val="00BB11E1"/>
    <w:rsid w:val="00BB1A83"/>
    <w:rsid w:val="00BB4439"/>
    <w:rsid w:val="00BB5AE8"/>
    <w:rsid w:val="00BC1016"/>
    <w:rsid w:val="00BC3A35"/>
    <w:rsid w:val="00BC3D91"/>
    <w:rsid w:val="00BC40A9"/>
    <w:rsid w:val="00BC65C8"/>
    <w:rsid w:val="00BE0B9C"/>
    <w:rsid w:val="00BE278B"/>
    <w:rsid w:val="00BE7E6A"/>
    <w:rsid w:val="00BF2FCC"/>
    <w:rsid w:val="00BF3DE6"/>
    <w:rsid w:val="00BF4E55"/>
    <w:rsid w:val="00BF68C5"/>
    <w:rsid w:val="00C004B6"/>
    <w:rsid w:val="00C05624"/>
    <w:rsid w:val="00C10F06"/>
    <w:rsid w:val="00C12A40"/>
    <w:rsid w:val="00C12D73"/>
    <w:rsid w:val="00C13E69"/>
    <w:rsid w:val="00C212F5"/>
    <w:rsid w:val="00C21D6C"/>
    <w:rsid w:val="00C33AE4"/>
    <w:rsid w:val="00C36235"/>
    <w:rsid w:val="00C367D3"/>
    <w:rsid w:val="00C40B9B"/>
    <w:rsid w:val="00C438EA"/>
    <w:rsid w:val="00C45BE1"/>
    <w:rsid w:val="00C5661C"/>
    <w:rsid w:val="00C63213"/>
    <w:rsid w:val="00C6377C"/>
    <w:rsid w:val="00C6548E"/>
    <w:rsid w:val="00C725AE"/>
    <w:rsid w:val="00C806D5"/>
    <w:rsid w:val="00C838AA"/>
    <w:rsid w:val="00C84043"/>
    <w:rsid w:val="00C841B1"/>
    <w:rsid w:val="00C86819"/>
    <w:rsid w:val="00C86E2B"/>
    <w:rsid w:val="00C87124"/>
    <w:rsid w:val="00C90B73"/>
    <w:rsid w:val="00CA0835"/>
    <w:rsid w:val="00CA3715"/>
    <w:rsid w:val="00CA5687"/>
    <w:rsid w:val="00CA5E3A"/>
    <w:rsid w:val="00CB0ED6"/>
    <w:rsid w:val="00CB68BF"/>
    <w:rsid w:val="00CC05FE"/>
    <w:rsid w:val="00CC1B63"/>
    <w:rsid w:val="00CD2678"/>
    <w:rsid w:val="00CD2AA7"/>
    <w:rsid w:val="00CD74AB"/>
    <w:rsid w:val="00CE5497"/>
    <w:rsid w:val="00CF38C1"/>
    <w:rsid w:val="00CF74E1"/>
    <w:rsid w:val="00D016E0"/>
    <w:rsid w:val="00D02206"/>
    <w:rsid w:val="00D02D5B"/>
    <w:rsid w:val="00D0667E"/>
    <w:rsid w:val="00D0750E"/>
    <w:rsid w:val="00D12839"/>
    <w:rsid w:val="00D12CF8"/>
    <w:rsid w:val="00D15E01"/>
    <w:rsid w:val="00D176E0"/>
    <w:rsid w:val="00D24543"/>
    <w:rsid w:val="00D24EC9"/>
    <w:rsid w:val="00D27134"/>
    <w:rsid w:val="00D2757C"/>
    <w:rsid w:val="00D27972"/>
    <w:rsid w:val="00D30AC9"/>
    <w:rsid w:val="00D3574E"/>
    <w:rsid w:val="00D36B16"/>
    <w:rsid w:val="00D409E1"/>
    <w:rsid w:val="00D40A48"/>
    <w:rsid w:val="00D4421B"/>
    <w:rsid w:val="00D448A3"/>
    <w:rsid w:val="00D455D2"/>
    <w:rsid w:val="00D457A6"/>
    <w:rsid w:val="00D529B5"/>
    <w:rsid w:val="00D56E3D"/>
    <w:rsid w:val="00D66CD9"/>
    <w:rsid w:val="00D70157"/>
    <w:rsid w:val="00D76564"/>
    <w:rsid w:val="00D77963"/>
    <w:rsid w:val="00D80939"/>
    <w:rsid w:val="00D95D3F"/>
    <w:rsid w:val="00D960C2"/>
    <w:rsid w:val="00DA1D2D"/>
    <w:rsid w:val="00DA2B47"/>
    <w:rsid w:val="00DA4A52"/>
    <w:rsid w:val="00DA4B06"/>
    <w:rsid w:val="00DA56D7"/>
    <w:rsid w:val="00DA6E18"/>
    <w:rsid w:val="00DB73D3"/>
    <w:rsid w:val="00DC04B9"/>
    <w:rsid w:val="00DC07B5"/>
    <w:rsid w:val="00DE08B6"/>
    <w:rsid w:val="00DF5E3D"/>
    <w:rsid w:val="00E05E79"/>
    <w:rsid w:val="00E1197F"/>
    <w:rsid w:val="00E1460A"/>
    <w:rsid w:val="00E15256"/>
    <w:rsid w:val="00E15668"/>
    <w:rsid w:val="00E1571E"/>
    <w:rsid w:val="00E211A2"/>
    <w:rsid w:val="00E25681"/>
    <w:rsid w:val="00E30181"/>
    <w:rsid w:val="00E33D7A"/>
    <w:rsid w:val="00E46163"/>
    <w:rsid w:val="00E560EF"/>
    <w:rsid w:val="00E57277"/>
    <w:rsid w:val="00E61A12"/>
    <w:rsid w:val="00E62A4A"/>
    <w:rsid w:val="00E63BFD"/>
    <w:rsid w:val="00E6559F"/>
    <w:rsid w:val="00E661BF"/>
    <w:rsid w:val="00E668E0"/>
    <w:rsid w:val="00E71424"/>
    <w:rsid w:val="00E722B1"/>
    <w:rsid w:val="00E72E58"/>
    <w:rsid w:val="00E80193"/>
    <w:rsid w:val="00E81E24"/>
    <w:rsid w:val="00E943C9"/>
    <w:rsid w:val="00E96E5E"/>
    <w:rsid w:val="00E96F01"/>
    <w:rsid w:val="00EA0D17"/>
    <w:rsid w:val="00EA7D41"/>
    <w:rsid w:val="00EB5D2D"/>
    <w:rsid w:val="00EB6BE6"/>
    <w:rsid w:val="00EC3E01"/>
    <w:rsid w:val="00EC4F71"/>
    <w:rsid w:val="00EC738C"/>
    <w:rsid w:val="00ED389E"/>
    <w:rsid w:val="00ED41BF"/>
    <w:rsid w:val="00ED494F"/>
    <w:rsid w:val="00ED69D8"/>
    <w:rsid w:val="00EE656E"/>
    <w:rsid w:val="00EE69C7"/>
    <w:rsid w:val="00EF00AA"/>
    <w:rsid w:val="00EF6E26"/>
    <w:rsid w:val="00EF7A66"/>
    <w:rsid w:val="00F03921"/>
    <w:rsid w:val="00F04281"/>
    <w:rsid w:val="00F05346"/>
    <w:rsid w:val="00F07454"/>
    <w:rsid w:val="00F24429"/>
    <w:rsid w:val="00F33C6F"/>
    <w:rsid w:val="00F34A50"/>
    <w:rsid w:val="00F36FD7"/>
    <w:rsid w:val="00F4047A"/>
    <w:rsid w:val="00F40FA4"/>
    <w:rsid w:val="00F42778"/>
    <w:rsid w:val="00F46DB7"/>
    <w:rsid w:val="00F564D6"/>
    <w:rsid w:val="00F568A6"/>
    <w:rsid w:val="00F57684"/>
    <w:rsid w:val="00F611BB"/>
    <w:rsid w:val="00F66AAD"/>
    <w:rsid w:val="00F81392"/>
    <w:rsid w:val="00F814D1"/>
    <w:rsid w:val="00F818AC"/>
    <w:rsid w:val="00F83991"/>
    <w:rsid w:val="00F94F61"/>
    <w:rsid w:val="00FA4A94"/>
    <w:rsid w:val="00FA6317"/>
    <w:rsid w:val="00FB33DD"/>
    <w:rsid w:val="00FB5F39"/>
    <w:rsid w:val="00FC00E0"/>
    <w:rsid w:val="00FC012E"/>
    <w:rsid w:val="00FC4099"/>
    <w:rsid w:val="00FC50D0"/>
    <w:rsid w:val="00FC5648"/>
    <w:rsid w:val="00FC622F"/>
    <w:rsid w:val="00FC659D"/>
    <w:rsid w:val="00FC685A"/>
    <w:rsid w:val="00FD4124"/>
    <w:rsid w:val="00FE220A"/>
    <w:rsid w:val="00FE2531"/>
    <w:rsid w:val="00FE6705"/>
    <w:rsid w:val="00FF01D8"/>
    <w:rsid w:val="00FF1EC1"/>
    <w:rsid w:val="00FF4C28"/>
    <w:rsid w:val="02D73FE5"/>
    <w:rsid w:val="03724869"/>
    <w:rsid w:val="03FC6917"/>
    <w:rsid w:val="0E980DF0"/>
    <w:rsid w:val="0F25330D"/>
    <w:rsid w:val="0FE850A5"/>
    <w:rsid w:val="10790FE5"/>
    <w:rsid w:val="12634176"/>
    <w:rsid w:val="166167A3"/>
    <w:rsid w:val="19DE53BB"/>
    <w:rsid w:val="1C15537C"/>
    <w:rsid w:val="1E6C71A3"/>
    <w:rsid w:val="2318468D"/>
    <w:rsid w:val="23390004"/>
    <w:rsid w:val="253046F8"/>
    <w:rsid w:val="31E518FE"/>
    <w:rsid w:val="338F55A8"/>
    <w:rsid w:val="367A01BD"/>
    <w:rsid w:val="37052710"/>
    <w:rsid w:val="38C73A62"/>
    <w:rsid w:val="3AA07A16"/>
    <w:rsid w:val="3C834E15"/>
    <w:rsid w:val="3CAD753C"/>
    <w:rsid w:val="42BF18F3"/>
    <w:rsid w:val="444F0C91"/>
    <w:rsid w:val="448F0B09"/>
    <w:rsid w:val="4B766C25"/>
    <w:rsid w:val="4EB34849"/>
    <w:rsid w:val="4FA113E3"/>
    <w:rsid w:val="51740AA0"/>
    <w:rsid w:val="51AA3F45"/>
    <w:rsid w:val="53C67B24"/>
    <w:rsid w:val="56065FEE"/>
    <w:rsid w:val="57A62321"/>
    <w:rsid w:val="5A32124F"/>
    <w:rsid w:val="5B0D0192"/>
    <w:rsid w:val="5B111C92"/>
    <w:rsid w:val="5B445208"/>
    <w:rsid w:val="5B6B2194"/>
    <w:rsid w:val="5C93062A"/>
    <w:rsid w:val="5D292A17"/>
    <w:rsid w:val="5D9D72A2"/>
    <w:rsid w:val="5DE30E18"/>
    <w:rsid w:val="5E8425FB"/>
    <w:rsid w:val="611724E2"/>
    <w:rsid w:val="62B20439"/>
    <w:rsid w:val="636A2657"/>
    <w:rsid w:val="63926BBF"/>
    <w:rsid w:val="66E87218"/>
    <w:rsid w:val="675D5C43"/>
    <w:rsid w:val="67E90086"/>
    <w:rsid w:val="6AA933EA"/>
    <w:rsid w:val="6B102E01"/>
    <w:rsid w:val="6EC32CCC"/>
    <w:rsid w:val="6F15104E"/>
    <w:rsid w:val="7024623F"/>
    <w:rsid w:val="711D243B"/>
    <w:rsid w:val="716704ED"/>
    <w:rsid w:val="7361523B"/>
    <w:rsid w:val="76B353F2"/>
    <w:rsid w:val="79F3510B"/>
    <w:rsid w:val="7AF75765"/>
    <w:rsid w:val="7BA84D8C"/>
    <w:rsid w:val="7BBF0CBF"/>
    <w:rsid w:val="7CB7391D"/>
    <w:rsid w:val="7E1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2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2"/>
    <w:autoRedefine/>
    <w:semiHidden/>
    <w:unhideWhenUsed/>
    <w:qFormat/>
    <w:uiPriority w:val="99"/>
    <w:rPr>
      <w:b/>
      <w:bCs/>
    </w:rPr>
  </w:style>
  <w:style w:type="table" w:styleId="10">
    <w:name w:val="Table Grid"/>
    <w:basedOn w:val="9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page number"/>
    <w:basedOn w:val="11"/>
    <w:unhideWhenUsed/>
    <w:qFormat/>
    <w:uiPriority w:val="99"/>
  </w:style>
  <w:style w:type="character" w:styleId="14">
    <w:name w:val="FollowedHyperlink"/>
    <w:basedOn w:val="11"/>
    <w:semiHidden/>
    <w:unhideWhenUsed/>
    <w:qFormat/>
    <w:uiPriority w:val="99"/>
    <w:rPr>
      <w:color w:val="800080"/>
      <w:u w:val="single"/>
    </w:rPr>
  </w:style>
  <w:style w:type="character" w:styleId="15">
    <w:name w:val="Emphasis"/>
    <w:basedOn w:val="11"/>
    <w:autoRedefine/>
    <w:qFormat/>
    <w:uiPriority w:val="20"/>
    <w:rPr>
      <w:i/>
      <w:iCs/>
    </w:rPr>
  </w:style>
  <w:style w:type="character" w:styleId="16">
    <w:name w:val="Hyperlink"/>
    <w:basedOn w:val="11"/>
    <w:unhideWhenUsed/>
    <w:qFormat/>
    <w:uiPriority w:val="99"/>
    <w:rPr>
      <w:color w:val="0000FF"/>
      <w:u w:val="single"/>
    </w:rPr>
  </w:style>
  <w:style w:type="character" w:styleId="17">
    <w:name w:val="annotation reference"/>
    <w:basedOn w:val="11"/>
    <w:autoRedefine/>
    <w:semiHidden/>
    <w:unhideWhenUsed/>
    <w:qFormat/>
    <w:uiPriority w:val="99"/>
    <w:rPr>
      <w:sz w:val="21"/>
      <w:szCs w:val="21"/>
    </w:rPr>
  </w:style>
  <w:style w:type="character" w:customStyle="1" w:styleId="18">
    <w:name w:val="页眉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19">
    <w:name w:val="页脚 Char"/>
    <w:basedOn w:val="11"/>
    <w:link w:val="5"/>
    <w:qFormat/>
    <w:uiPriority w:val="99"/>
    <w:rPr>
      <w:sz w:val="18"/>
      <w:szCs w:val="18"/>
    </w:rPr>
  </w:style>
  <w:style w:type="character" w:styleId="20">
    <w:name w:val="Placeholder Text"/>
    <w:basedOn w:val="11"/>
    <w:semiHidden/>
    <w:qFormat/>
    <w:uiPriority w:val="99"/>
    <w:rPr>
      <w:color w:val="808080"/>
    </w:rPr>
  </w:style>
  <w:style w:type="character" w:customStyle="1" w:styleId="21">
    <w:name w:val="批注文字 Char"/>
    <w:basedOn w:val="11"/>
    <w:link w:val="3"/>
    <w:autoRedefine/>
    <w:semiHidden/>
    <w:qFormat/>
    <w:uiPriority w:val="99"/>
  </w:style>
  <w:style w:type="character" w:customStyle="1" w:styleId="22">
    <w:name w:val="批注主题 Char"/>
    <w:basedOn w:val="21"/>
    <w:link w:val="8"/>
    <w:semiHidden/>
    <w:qFormat/>
    <w:uiPriority w:val="99"/>
    <w:rPr>
      <w:b/>
      <w:bCs/>
    </w:rPr>
  </w:style>
  <w:style w:type="character" w:customStyle="1" w:styleId="23">
    <w:name w:val="批注框文本 Char"/>
    <w:basedOn w:val="11"/>
    <w:link w:val="4"/>
    <w:semiHidden/>
    <w:qFormat/>
    <w:uiPriority w:val="99"/>
    <w:rPr>
      <w:sz w:val="18"/>
      <w:szCs w:val="18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  <w:style w:type="character" w:customStyle="1" w:styleId="25">
    <w:name w:val="005正文 Char"/>
    <w:link w:val="26"/>
    <w:qFormat/>
    <w:locked/>
    <w:uiPriority w:val="0"/>
    <w:rPr>
      <w:rFonts w:ascii="Times New Roman" w:hAnsi="Times New Roman"/>
    </w:rPr>
  </w:style>
  <w:style w:type="paragraph" w:customStyle="1" w:styleId="26">
    <w:name w:val="005正文"/>
    <w:basedOn w:val="1"/>
    <w:link w:val="25"/>
    <w:autoRedefine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</w:rPr>
  </w:style>
  <w:style w:type="character" w:customStyle="1" w:styleId="27">
    <w:name w:val="标题 3 Char"/>
    <w:basedOn w:val="11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28">
    <w:name w:val="未处理的提及1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9">
    <w:name w:val="未处理的提及2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30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31">
    <w:name w:val="xl6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2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3">
    <w:name w:val="xl6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5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6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8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39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40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1">
    <w:name w:val="xl7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2">
    <w:name w:val="xl76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  <w:szCs w:val="24"/>
    </w:rPr>
  </w:style>
  <w:style w:type="paragraph" w:customStyle="1" w:styleId="43">
    <w:name w:val="Table Text"/>
    <w:basedOn w:val="1"/>
    <w:semiHidden/>
    <w:qFormat/>
    <w:uiPriority w:val="0"/>
    <w:rPr>
      <w:rFonts w:ascii="宋体" w:hAnsi="宋体" w:eastAsia="宋体" w:cs="宋体"/>
      <w:szCs w:val="21"/>
      <w:lang w:eastAsia="en-US"/>
    </w:rPr>
  </w:style>
  <w:style w:type="table" w:customStyle="1" w:styleId="4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E575-1077-423B-8E71-515F4959E2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1850</Words>
  <Characters>2096</Characters>
  <Lines>313</Lines>
  <Paragraphs>310</Paragraphs>
  <TotalTime>523</TotalTime>
  <ScaleCrop>false</ScaleCrop>
  <LinksUpToDate>false</LinksUpToDate>
  <CharactersWithSpaces>2100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2022-11-01T07:22:00Z</dcterms:created>
  <dc:creator>吴婷</dc:creator>
  <cp:lastModifiedBy>谢强</cp:lastModifiedBy>
  <cp:lastPrinted>2019-11-04T07:32:00Z</cp:lastPrinted>
  <dcterms:modified xsi:type="dcterms:W3CDTF">2026-11-03T09:09:55Z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4B078F7D14DE4A8397D484364A1D9E46_13</vt:lpwstr>
  </property>
  <property fmtid="{D5CDD505-2E9C-101B-9397-08002B2CF9AE}" pid="4" name="KSOTemplateDocerSaveRecord">
    <vt:lpwstr>eyJoZGlkIjoiYzAzODAxMzg0OTI0MWEyOWMxM2I5ZTE5NDQ5MDEyN2YiLCJ1c2VySWQiOiI2NDA5MjkyMjYifQ==</vt:lpwstr>
  </property>
</Properties>
</file>