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123B36" w14:textId="77777777" w:rsidR="002E5700" w:rsidRDefault="00715962">
      <w:pPr>
        <w:spacing w:beforeLines="50" w:before="156" w:afterLines="50" w:after="156" w:line="400" w:lineRule="exact"/>
        <w:rPr>
          <w:rFonts w:ascii="宋体" w:hAnsi="宋体"/>
          <w:bCs/>
          <w:iCs/>
          <w:sz w:val="24"/>
        </w:rPr>
      </w:pPr>
      <w:r>
        <w:rPr>
          <w:rFonts w:ascii="宋体" w:hAnsi="宋体" w:hint="eastAsia"/>
          <w:bCs/>
          <w:iCs/>
          <w:sz w:val="24"/>
        </w:rPr>
        <w:t>证券代码：6</w:t>
      </w:r>
      <w:r>
        <w:rPr>
          <w:rFonts w:ascii="宋体" w:hAnsi="宋体"/>
          <w:bCs/>
          <w:iCs/>
          <w:sz w:val="24"/>
        </w:rPr>
        <w:t>88108</w:t>
      </w:r>
      <w:r>
        <w:rPr>
          <w:rFonts w:ascii="宋体" w:hAnsi="宋体" w:hint="eastAsia"/>
          <w:bCs/>
          <w:iCs/>
          <w:sz w:val="24"/>
        </w:rPr>
        <w:t xml:space="preserve">                                    </w:t>
      </w:r>
      <w:r>
        <w:rPr>
          <w:rFonts w:ascii="宋体" w:hAnsi="宋体"/>
          <w:bCs/>
          <w:iCs/>
          <w:sz w:val="24"/>
        </w:rPr>
        <w:t xml:space="preserve">           </w:t>
      </w:r>
      <w:r>
        <w:rPr>
          <w:rFonts w:ascii="宋体" w:hAnsi="宋体" w:hint="eastAsia"/>
          <w:bCs/>
          <w:iCs/>
          <w:sz w:val="24"/>
        </w:rPr>
        <w:t>证券简称：赛诺医疗</w:t>
      </w:r>
    </w:p>
    <w:p w14:paraId="5EA06060" w14:textId="77777777" w:rsidR="002E5700" w:rsidRDefault="00715962">
      <w:pPr>
        <w:spacing w:beforeLines="50" w:before="156" w:afterLines="50" w:after="156" w:line="400" w:lineRule="exact"/>
        <w:jc w:val="center"/>
        <w:rPr>
          <w:rFonts w:ascii="宋体" w:hAnsi="宋体"/>
          <w:b/>
          <w:bCs/>
          <w:iCs/>
          <w:color w:val="FF0000"/>
          <w:sz w:val="36"/>
          <w:szCs w:val="36"/>
        </w:rPr>
      </w:pPr>
      <w:r>
        <w:rPr>
          <w:rFonts w:ascii="宋体" w:hAnsi="宋体" w:hint="eastAsia"/>
          <w:b/>
          <w:bCs/>
          <w:iCs/>
          <w:color w:val="FF0000"/>
          <w:sz w:val="36"/>
          <w:szCs w:val="36"/>
        </w:rPr>
        <w:t>赛诺医疗科学技术股份有限公司</w:t>
      </w:r>
    </w:p>
    <w:p w14:paraId="499E301F" w14:textId="77777777" w:rsidR="002E5700" w:rsidRDefault="00715962">
      <w:pPr>
        <w:spacing w:beforeLines="50" w:before="156" w:afterLines="50" w:after="156" w:line="400" w:lineRule="exact"/>
        <w:jc w:val="center"/>
        <w:rPr>
          <w:rFonts w:ascii="宋体" w:hAnsi="宋体"/>
          <w:b/>
          <w:bCs/>
          <w:iCs/>
          <w:color w:val="FF0000"/>
          <w:sz w:val="36"/>
          <w:szCs w:val="36"/>
        </w:rPr>
      </w:pPr>
      <w:r>
        <w:rPr>
          <w:rFonts w:ascii="宋体" w:hAnsi="宋体" w:hint="eastAsia"/>
          <w:b/>
          <w:bCs/>
          <w:iCs/>
          <w:color w:val="FF0000"/>
          <w:sz w:val="36"/>
          <w:szCs w:val="36"/>
        </w:rPr>
        <w:t>投资者关系活动记录表</w:t>
      </w:r>
    </w:p>
    <w:p w14:paraId="54A8E8A8" w14:textId="77777777" w:rsidR="002E5700" w:rsidRDefault="00715962">
      <w:pPr>
        <w:spacing w:line="400" w:lineRule="exact"/>
        <w:jc w:val="right"/>
        <w:rPr>
          <w:rFonts w:ascii="宋体" w:hAnsi="宋体"/>
          <w:bCs/>
          <w:iCs/>
          <w:sz w:val="24"/>
        </w:rPr>
      </w:pPr>
      <w:r>
        <w:rPr>
          <w:rFonts w:ascii="宋体" w:hAnsi="宋体" w:hint="eastAsia"/>
          <w:bCs/>
          <w:iCs/>
          <w:sz w:val="24"/>
        </w:rPr>
        <w:t xml:space="preserve">                                                     编号：2</w:t>
      </w:r>
      <w:r>
        <w:rPr>
          <w:rFonts w:ascii="宋体" w:hAnsi="宋体"/>
          <w:bCs/>
          <w:iCs/>
          <w:sz w:val="24"/>
        </w:rPr>
        <w:t>026-006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7683"/>
      </w:tblGrid>
      <w:tr w:rsidR="002E5700" w14:paraId="256E93CB" w14:textId="77777777">
        <w:trPr>
          <w:trHeight w:val="201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2553D" w14:textId="77777777" w:rsidR="002E5700" w:rsidRDefault="00715962">
            <w:pPr>
              <w:spacing w:line="480" w:lineRule="atLeast"/>
              <w:jc w:val="center"/>
              <w:rPr>
                <w:rFonts w:ascii="宋体" w:hAnsi="宋体"/>
                <w:bCs/>
                <w:iCs/>
                <w:sz w:val="24"/>
              </w:rPr>
            </w:pPr>
            <w:r>
              <w:rPr>
                <w:rFonts w:ascii="宋体" w:hAnsi="宋体" w:hint="eastAsia"/>
                <w:bCs/>
                <w:iCs/>
                <w:sz w:val="24"/>
              </w:rPr>
              <w:t>投资者关系</w:t>
            </w:r>
          </w:p>
          <w:p w14:paraId="271145BF" w14:textId="7E812332" w:rsidR="002E5700" w:rsidRDefault="00715962" w:rsidP="00622B31">
            <w:pPr>
              <w:spacing w:line="480" w:lineRule="atLeast"/>
              <w:jc w:val="center"/>
              <w:rPr>
                <w:rFonts w:ascii="宋体" w:hAnsi="宋体" w:hint="eastAsia"/>
                <w:bCs/>
                <w:iCs/>
                <w:sz w:val="24"/>
              </w:rPr>
            </w:pPr>
            <w:r>
              <w:rPr>
                <w:rFonts w:ascii="宋体" w:hAnsi="宋体" w:hint="eastAsia"/>
                <w:bCs/>
                <w:iCs/>
                <w:sz w:val="24"/>
              </w:rPr>
              <w:t>活动类别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D7F0F" w14:textId="77777777" w:rsidR="002E5700" w:rsidRDefault="00715962">
            <w:pPr>
              <w:spacing w:line="480" w:lineRule="atLeast"/>
              <w:rPr>
                <w:rFonts w:ascii="宋体" w:hAnsi="宋体"/>
                <w:bCs/>
                <w:iCs/>
                <w:sz w:val="24"/>
              </w:rPr>
            </w:pPr>
            <w:r>
              <w:rPr>
                <w:rFonts w:ascii="宋体" w:hAnsi="宋体" w:hint="eastAsia"/>
                <w:bCs/>
                <w:iCs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 xml:space="preserve">特定对象调研        </w:t>
            </w:r>
            <w:r>
              <w:rPr>
                <w:rFonts w:ascii="宋体" w:hAnsi="宋体" w:hint="eastAsia"/>
                <w:bCs/>
                <w:iCs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>分析师会议</w:t>
            </w:r>
          </w:p>
          <w:p w14:paraId="06F05804" w14:textId="77777777" w:rsidR="002E5700" w:rsidRDefault="00715962">
            <w:pPr>
              <w:spacing w:line="480" w:lineRule="atLeast"/>
              <w:rPr>
                <w:rFonts w:ascii="宋体" w:hAnsi="宋体"/>
                <w:bCs/>
                <w:iCs/>
                <w:sz w:val="24"/>
              </w:rPr>
            </w:pPr>
            <w:r>
              <w:rPr>
                <w:rFonts w:ascii="宋体" w:hAnsi="宋体" w:hint="eastAsia"/>
                <w:bCs/>
                <w:iCs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 xml:space="preserve">媒体采访            </w:t>
            </w:r>
            <w:r>
              <w:rPr>
                <w:rFonts w:ascii="宋体" w:hAnsi="宋体" w:hint="eastAsia"/>
                <w:bCs/>
                <w:iCs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>业绩说明会</w:t>
            </w:r>
          </w:p>
          <w:p w14:paraId="4D6D44B4" w14:textId="77777777" w:rsidR="002E5700" w:rsidRDefault="00715962">
            <w:pPr>
              <w:spacing w:line="480" w:lineRule="atLeast"/>
              <w:rPr>
                <w:rFonts w:ascii="宋体" w:hAnsi="宋体"/>
                <w:bCs/>
                <w:iCs/>
                <w:sz w:val="24"/>
              </w:rPr>
            </w:pPr>
            <w:r>
              <w:rPr>
                <w:rFonts w:ascii="宋体" w:hAnsi="宋体" w:hint="eastAsia"/>
                <w:bCs/>
                <w:iCs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 xml:space="preserve">新闻发布会          </w:t>
            </w:r>
            <w:r>
              <w:rPr>
                <w:rFonts w:ascii="宋体" w:hAnsi="宋体" w:hint="eastAsia"/>
                <w:bCs/>
                <w:iCs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>路演活动</w:t>
            </w:r>
          </w:p>
          <w:p w14:paraId="15422412" w14:textId="77777777" w:rsidR="002E5700" w:rsidRDefault="00715962">
            <w:pPr>
              <w:tabs>
                <w:tab w:val="left" w:pos="2805"/>
                <w:tab w:val="center" w:pos="3199"/>
              </w:tabs>
              <w:spacing w:line="480" w:lineRule="atLeast"/>
              <w:ind w:left="3600" w:hangingChars="1500" w:hanging="3600"/>
              <w:rPr>
                <w:rFonts w:ascii="宋体" w:hAnsi="宋体"/>
                <w:bCs/>
                <w:iCs/>
                <w:sz w:val="24"/>
              </w:rPr>
            </w:pPr>
            <w:r>
              <w:rPr>
                <w:rFonts w:ascii="宋体" w:hAnsi="宋体" w:hint="eastAsia"/>
                <w:bCs/>
                <w:iCs/>
                <w:sz w:val="24"/>
              </w:rPr>
              <w:t>□</w:t>
            </w:r>
            <w:r>
              <w:rPr>
                <w:rFonts w:ascii="宋体" w:hAnsi="宋体" w:hint="eastAsia"/>
                <w:sz w:val="24"/>
              </w:rPr>
              <w:t xml:space="preserve">现场参观 </w:t>
            </w:r>
            <w:r>
              <w:rPr>
                <w:rFonts w:ascii="宋体" w:hAnsi="宋体"/>
                <w:sz w:val="24"/>
              </w:rPr>
              <w:t xml:space="preserve">           </w:t>
            </w:r>
            <w:r>
              <w:rPr>
                <w:rFonts w:ascii="宋体" w:hAnsi="宋体" w:hint="eastAsia"/>
                <w:bCs/>
                <w:iCs/>
                <w:sz w:val="24"/>
              </w:rPr>
              <w:sym w:font="Wingdings 2" w:char="F0A2"/>
            </w:r>
            <w:r>
              <w:rPr>
                <w:rFonts w:ascii="宋体" w:hAnsi="宋体" w:hint="eastAsia"/>
                <w:sz w:val="24"/>
              </w:rPr>
              <w:t>其他 （2</w:t>
            </w:r>
            <w:r>
              <w:rPr>
                <w:rFonts w:ascii="宋体" w:hAnsi="宋体"/>
                <w:sz w:val="24"/>
              </w:rPr>
              <w:t>026</w:t>
            </w:r>
            <w:r>
              <w:rPr>
                <w:rFonts w:ascii="宋体" w:hAnsi="宋体" w:hint="eastAsia"/>
                <w:sz w:val="24"/>
              </w:rPr>
              <w:t>年第三季度业绩交流电话会）</w:t>
            </w:r>
          </w:p>
        </w:tc>
      </w:tr>
      <w:tr w:rsidR="002E5700" w14:paraId="2D3EEEE6" w14:textId="77777777">
        <w:trPr>
          <w:trHeight w:val="70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890A4" w14:textId="77777777" w:rsidR="002E5700" w:rsidRDefault="00715962">
            <w:pPr>
              <w:spacing w:line="480" w:lineRule="atLeast"/>
              <w:jc w:val="center"/>
              <w:rPr>
                <w:rFonts w:ascii="宋体" w:hAnsi="宋体"/>
                <w:bCs/>
                <w:iCs/>
                <w:sz w:val="24"/>
              </w:rPr>
            </w:pPr>
            <w:r>
              <w:rPr>
                <w:rFonts w:ascii="宋体" w:hAnsi="宋体" w:hint="eastAsia"/>
                <w:bCs/>
                <w:iCs/>
                <w:sz w:val="24"/>
              </w:rPr>
              <w:t>参与单位名称</w:t>
            </w:r>
          </w:p>
          <w:p w14:paraId="15419868" w14:textId="77777777" w:rsidR="002E5700" w:rsidRDefault="00715962">
            <w:pPr>
              <w:spacing w:line="480" w:lineRule="atLeast"/>
              <w:jc w:val="center"/>
              <w:rPr>
                <w:rFonts w:ascii="宋体" w:hAnsi="宋体"/>
                <w:bCs/>
                <w:iCs/>
                <w:sz w:val="24"/>
              </w:rPr>
            </w:pPr>
            <w:r>
              <w:rPr>
                <w:rFonts w:ascii="宋体" w:hAnsi="宋体" w:hint="eastAsia"/>
                <w:bCs/>
                <w:iCs/>
                <w:sz w:val="24"/>
              </w:rPr>
              <w:t>及人员姓名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0836F" w14:textId="77777777" w:rsidR="002E5700" w:rsidRDefault="00715962">
            <w:pPr>
              <w:spacing w:line="480" w:lineRule="atLeast"/>
              <w:rPr>
                <w:rFonts w:ascii="宋体" w:hAnsi="宋体"/>
                <w:bCs/>
                <w:iCs/>
                <w:sz w:val="24"/>
              </w:rPr>
            </w:pPr>
            <w:r>
              <w:rPr>
                <w:rFonts w:ascii="宋体" w:hAnsi="宋体" w:hint="eastAsia"/>
                <w:bCs/>
                <w:iCs/>
                <w:sz w:val="24"/>
              </w:rPr>
              <w:t>中银基金（</w:t>
            </w:r>
            <w:proofErr w:type="gramStart"/>
            <w:r>
              <w:rPr>
                <w:rFonts w:ascii="宋体" w:hAnsi="宋体" w:hint="eastAsia"/>
                <w:bCs/>
                <w:iCs/>
                <w:sz w:val="24"/>
              </w:rPr>
              <w:t>裔汶锦</w:t>
            </w:r>
            <w:proofErr w:type="gramEnd"/>
            <w:r>
              <w:rPr>
                <w:rFonts w:ascii="宋体" w:hAnsi="宋体" w:hint="eastAsia"/>
                <w:bCs/>
                <w:iCs/>
                <w:sz w:val="24"/>
              </w:rPr>
              <w:t>）、中信期货（魏巍）、中信建投（徐杰恩、孔令岩、郑涛、王在存、李虹达、董文静、张倬千、骆华森、周户、杜志君、文惠霞）、中国人寿养老保险（吕品洁、裴勇）、中国国际金融（胡迪、梁振霆）、</w:t>
            </w:r>
            <w:proofErr w:type="gramStart"/>
            <w:r>
              <w:rPr>
                <w:rFonts w:ascii="宋体" w:hAnsi="宋体" w:hint="eastAsia"/>
                <w:bCs/>
                <w:iCs/>
                <w:sz w:val="24"/>
              </w:rPr>
              <w:t>浙商证券</w:t>
            </w:r>
            <w:proofErr w:type="gramEnd"/>
            <w:r>
              <w:rPr>
                <w:rFonts w:ascii="宋体" w:hAnsi="宋体" w:hint="eastAsia"/>
                <w:bCs/>
                <w:iCs/>
                <w:sz w:val="24"/>
              </w:rPr>
              <w:t>研究所（彭波）、</w:t>
            </w:r>
            <w:proofErr w:type="gramStart"/>
            <w:r>
              <w:rPr>
                <w:rFonts w:ascii="宋体" w:hAnsi="宋体" w:hint="eastAsia"/>
                <w:bCs/>
                <w:iCs/>
                <w:sz w:val="24"/>
              </w:rPr>
              <w:t>浙商证券</w:t>
            </w:r>
            <w:proofErr w:type="gramEnd"/>
            <w:r>
              <w:rPr>
                <w:rFonts w:ascii="宋体" w:hAnsi="宋体" w:hint="eastAsia"/>
                <w:bCs/>
                <w:iCs/>
                <w:sz w:val="24"/>
              </w:rPr>
              <w:t>（陈姗姗）、</w:t>
            </w:r>
            <w:proofErr w:type="gramStart"/>
            <w:r>
              <w:rPr>
                <w:rFonts w:ascii="宋体" w:hAnsi="宋体" w:hint="eastAsia"/>
                <w:bCs/>
                <w:iCs/>
                <w:sz w:val="24"/>
              </w:rPr>
              <w:t>浙商医药</w:t>
            </w:r>
            <w:proofErr w:type="gramEnd"/>
            <w:r>
              <w:rPr>
                <w:rFonts w:ascii="宋体" w:hAnsi="宋体" w:hint="eastAsia"/>
                <w:bCs/>
                <w:iCs/>
                <w:sz w:val="24"/>
              </w:rPr>
              <w:t>（李国策）、招银理财（巩伟）、招商证券资产管理（蔡霖）、长信基金（李泽明）、长江养老保险（戴颖、朱安平、邱长伟、张学瑞、孙楠）、长城基金（唐项涛、张坚）、</w:t>
            </w:r>
            <w:proofErr w:type="gramStart"/>
            <w:r>
              <w:rPr>
                <w:rFonts w:ascii="宋体" w:hAnsi="宋体" w:hint="eastAsia"/>
                <w:bCs/>
                <w:iCs/>
                <w:sz w:val="24"/>
              </w:rPr>
              <w:t>圆信永丰</w:t>
            </w:r>
            <w:proofErr w:type="gramEnd"/>
            <w:r>
              <w:rPr>
                <w:rFonts w:ascii="宋体" w:hAnsi="宋体" w:hint="eastAsia"/>
                <w:bCs/>
                <w:iCs/>
                <w:sz w:val="24"/>
              </w:rPr>
              <w:t>基金（汪萍、陈臣）、银华基金（李爽）、银河基金（于嘉馨、石磊、袁曦、方伟）、野村东方国际证券（王道）、幸福人寿保险（李鸣）、兴业证券（东楠、龚涵清、周昱、孙媛媛）、兴业基金（王丝语）、</w:t>
            </w:r>
            <w:proofErr w:type="gramStart"/>
            <w:r>
              <w:rPr>
                <w:rFonts w:ascii="宋体" w:hAnsi="宋体" w:hint="eastAsia"/>
                <w:bCs/>
                <w:iCs/>
                <w:sz w:val="24"/>
              </w:rPr>
              <w:t>信达澳亚基</w:t>
            </w:r>
            <w:proofErr w:type="gramEnd"/>
            <w:r>
              <w:rPr>
                <w:rFonts w:ascii="宋体" w:hAnsi="宋体" w:hint="eastAsia"/>
                <w:bCs/>
                <w:iCs/>
                <w:sz w:val="24"/>
              </w:rPr>
              <w:t>金（陈烁、吴凯）、湘财基金（张泉）、西部证券（樊嘉诚、朱镭）、天风证券（薛余来）、太平资产管理（彭丹雪、范亮）、太平洋资产管理（阳明春、吴晓丹、叶宇泽）、深圳市新思哲投资（彭建国）、深圳</w:t>
            </w:r>
            <w:proofErr w:type="gramStart"/>
            <w:r>
              <w:rPr>
                <w:rFonts w:ascii="宋体" w:hAnsi="宋体" w:hint="eastAsia"/>
                <w:bCs/>
                <w:iCs/>
                <w:sz w:val="24"/>
              </w:rPr>
              <w:t>前海砚博乘风</w:t>
            </w:r>
            <w:proofErr w:type="gramEnd"/>
            <w:r>
              <w:rPr>
                <w:rFonts w:ascii="宋体" w:hAnsi="宋体" w:hint="eastAsia"/>
                <w:bCs/>
                <w:iCs/>
                <w:sz w:val="24"/>
              </w:rPr>
              <w:t>资产管理（郝晓婧）、深圳港</w:t>
            </w:r>
            <w:proofErr w:type="gramStart"/>
            <w:r>
              <w:rPr>
                <w:rFonts w:ascii="宋体" w:hAnsi="宋体" w:hint="eastAsia"/>
                <w:bCs/>
                <w:iCs/>
                <w:sz w:val="24"/>
              </w:rPr>
              <w:t>丽投资</w:t>
            </w:r>
            <w:proofErr w:type="gramEnd"/>
            <w:r>
              <w:rPr>
                <w:rFonts w:ascii="宋体" w:hAnsi="宋体" w:hint="eastAsia"/>
                <w:bCs/>
                <w:iCs/>
                <w:sz w:val="24"/>
              </w:rPr>
              <w:t>咨询（邵琮元）、申万菱信基金（姚宏福、许思敏、苗琦、赖兆鋆、陈丰源）、上海</w:t>
            </w:r>
            <w:proofErr w:type="gramStart"/>
            <w:r>
              <w:rPr>
                <w:rFonts w:ascii="宋体" w:hAnsi="宋体" w:hint="eastAsia"/>
                <w:bCs/>
                <w:iCs/>
                <w:sz w:val="24"/>
              </w:rPr>
              <w:t>域秀资产</w:t>
            </w:r>
            <w:proofErr w:type="gramEnd"/>
            <w:r>
              <w:rPr>
                <w:rFonts w:ascii="宋体" w:hAnsi="宋体" w:hint="eastAsia"/>
                <w:bCs/>
                <w:iCs/>
                <w:sz w:val="24"/>
              </w:rPr>
              <w:t>管理（刘云鹏）、上海盈怀私募基金（李伟勋）、上海</w:t>
            </w:r>
            <w:proofErr w:type="gramStart"/>
            <w:r>
              <w:rPr>
                <w:rFonts w:ascii="宋体" w:hAnsi="宋体" w:hint="eastAsia"/>
                <w:bCs/>
                <w:iCs/>
                <w:sz w:val="24"/>
              </w:rPr>
              <w:t>途灵资产</w:t>
            </w:r>
            <w:proofErr w:type="gramEnd"/>
            <w:r>
              <w:rPr>
                <w:rFonts w:ascii="宋体" w:hAnsi="宋体" w:hint="eastAsia"/>
                <w:bCs/>
                <w:iCs/>
                <w:sz w:val="24"/>
              </w:rPr>
              <w:t>管理（赵梓峰）、上海七曜投资（杨明韬）、上海</w:t>
            </w:r>
            <w:proofErr w:type="gramStart"/>
            <w:r>
              <w:rPr>
                <w:rFonts w:ascii="宋体" w:hAnsi="宋体" w:hint="eastAsia"/>
                <w:bCs/>
                <w:iCs/>
                <w:sz w:val="24"/>
              </w:rPr>
              <w:t>宁泉资产</w:t>
            </w:r>
            <w:proofErr w:type="gramEnd"/>
            <w:r>
              <w:rPr>
                <w:rFonts w:ascii="宋体" w:hAnsi="宋体" w:hint="eastAsia"/>
                <w:bCs/>
                <w:iCs/>
                <w:sz w:val="24"/>
              </w:rPr>
              <w:t>管理（陈冠群）、上海景</w:t>
            </w:r>
            <w:proofErr w:type="gramStart"/>
            <w:r>
              <w:rPr>
                <w:rFonts w:ascii="宋体" w:hAnsi="宋体" w:hint="eastAsia"/>
                <w:bCs/>
                <w:iCs/>
                <w:sz w:val="24"/>
              </w:rPr>
              <w:t>林资产</w:t>
            </w:r>
            <w:proofErr w:type="gramEnd"/>
            <w:r>
              <w:rPr>
                <w:rFonts w:ascii="宋体" w:hAnsi="宋体" w:hint="eastAsia"/>
                <w:bCs/>
                <w:iCs/>
                <w:sz w:val="24"/>
              </w:rPr>
              <w:t>管理（蒋彤）、上海光大证券资产管理（刘天雄）、上海非马投资（蔡峰、张齐嘉、李方勇、鲁长剑）、上海东方证券资产管理（江琦）、上海冲积资产管理（张智聪）、</w:t>
            </w:r>
            <w:proofErr w:type="gramStart"/>
            <w:r>
              <w:rPr>
                <w:rFonts w:ascii="宋体" w:hAnsi="宋体" w:hint="eastAsia"/>
                <w:bCs/>
                <w:iCs/>
                <w:sz w:val="24"/>
              </w:rPr>
              <w:t>睿</w:t>
            </w:r>
            <w:proofErr w:type="gramEnd"/>
            <w:r>
              <w:rPr>
                <w:rFonts w:ascii="宋体" w:hAnsi="宋体" w:hint="eastAsia"/>
                <w:bCs/>
                <w:iCs/>
                <w:sz w:val="24"/>
              </w:rPr>
              <w:t>远基金（顾晓彦）、融通基金（杨有为、王迪）、</w:t>
            </w:r>
            <w:proofErr w:type="gramStart"/>
            <w:r>
              <w:rPr>
                <w:rFonts w:ascii="宋体" w:hAnsi="宋体" w:hint="eastAsia"/>
                <w:bCs/>
                <w:iCs/>
                <w:sz w:val="24"/>
              </w:rPr>
              <w:t>浦银安</w:t>
            </w:r>
            <w:proofErr w:type="gramEnd"/>
            <w:r>
              <w:rPr>
                <w:rFonts w:ascii="宋体" w:hAnsi="宋体" w:hint="eastAsia"/>
                <w:bCs/>
                <w:iCs/>
                <w:sz w:val="24"/>
              </w:rPr>
              <w:t>盛基金（张瑞）、平安证券（裴晓鹏）、平安基金（神爱前、</w:t>
            </w:r>
            <w:r>
              <w:rPr>
                <w:rFonts w:ascii="宋体" w:hAnsi="宋体" w:hint="eastAsia"/>
                <w:bCs/>
                <w:iCs/>
                <w:sz w:val="24"/>
              </w:rPr>
              <w:lastRenderedPageBreak/>
              <w:t>吴宗潇）、鹏华基金（李建国）、南方基金（</w:t>
            </w:r>
            <w:proofErr w:type="gramStart"/>
            <w:r>
              <w:rPr>
                <w:rFonts w:ascii="宋体" w:hAnsi="宋体" w:hint="eastAsia"/>
                <w:bCs/>
                <w:iCs/>
                <w:sz w:val="24"/>
              </w:rPr>
              <w:t>都逸敏</w:t>
            </w:r>
            <w:proofErr w:type="gramEnd"/>
            <w:r>
              <w:rPr>
                <w:rFonts w:ascii="宋体" w:hAnsi="宋体" w:hint="eastAsia"/>
                <w:bCs/>
                <w:iCs/>
                <w:sz w:val="24"/>
              </w:rPr>
              <w:t>、陈哲、陈卓、赵俊桦、李金哲、蒋秋洁、恽雷、郑勇、吕思奇）、开源证券（刘毅、李文静、</w:t>
            </w:r>
            <w:proofErr w:type="gramStart"/>
            <w:r>
              <w:rPr>
                <w:rFonts w:ascii="宋体" w:hAnsi="宋体" w:hint="eastAsia"/>
                <w:bCs/>
                <w:iCs/>
                <w:sz w:val="24"/>
              </w:rPr>
              <w:t>冯矜</w:t>
            </w:r>
            <w:proofErr w:type="gramEnd"/>
            <w:r>
              <w:rPr>
                <w:rFonts w:ascii="宋体" w:hAnsi="宋体" w:hint="eastAsia"/>
                <w:bCs/>
                <w:iCs/>
                <w:sz w:val="24"/>
              </w:rPr>
              <w:t>男、段怡帆）、进门财经（赵嫚妮）、建信理财（唐文成）、建信基金（田元泉）、嘉实基金（宋阳）、</w:t>
            </w:r>
            <w:proofErr w:type="gramStart"/>
            <w:r>
              <w:rPr>
                <w:rFonts w:ascii="宋体" w:hAnsi="宋体" w:hint="eastAsia"/>
                <w:bCs/>
                <w:iCs/>
                <w:sz w:val="24"/>
              </w:rPr>
              <w:t>汇添富</w:t>
            </w:r>
            <w:proofErr w:type="gramEnd"/>
            <w:r>
              <w:rPr>
                <w:rFonts w:ascii="宋体" w:hAnsi="宋体" w:hint="eastAsia"/>
                <w:bCs/>
                <w:iCs/>
                <w:sz w:val="24"/>
              </w:rPr>
              <w:t>基金（李超、何丽峰、林</w:t>
            </w:r>
            <w:proofErr w:type="gramStart"/>
            <w:r>
              <w:rPr>
                <w:rFonts w:ascii="宋体" w:hAnsi="宋体" w:hint="eastAsia"/>
                <w:bCs/>
                <w:iCs/>
                <w:sz w:val="24"/>
              </w:rPr>
              <w:t>渌</w:t>
            </w:r>
            <w:proofErr w:type="gramEnd"/>
            <w:r>
              <w:rPr>
                <w:rFonts w:ascii="宋体" w:hAnsi="宋体" w:hint="eastAsia"/>
                <w:bCs/>
                <w:iCs/>
                <w:sz w:val="24"/>
              </w:rPr>
              <w:t>）、汇</w:t>
            </w:r>
            <w:proofErr w:type="gramStart"/>
            <w:r>
              <w:rPr>
                <w:rFonts w:ascii="宋体" w:hAnsi="宋体" w:hint="eastAsia"/>
                <w:bCs/>
                <w:iCs/>
                <w:sz w:val="24"/>
              </w:rPr>
              <w:t>丰晋信</w:t>
            </w:r>
            <w:proofErr w:type="gramEnd"/>
            <w:r>
              <w:rPr>
                <w:rFonts w:ascii="宋体" w:hAnsi="宋体" w:hint="eastAsia"/>
                <w:bCs/>
                <w:iCs/>
                <w:sz w:val="24"/>
              </w:rPr>
              <w:t>基金（宋田田、佟嘉钰）、华鑫证券（胡博新）、华夏理财（王莎）、华夏基金（常黎曼）、</w:t>
            </w:r>
            <w:proofErr w:type="gramStart"/>
            <w:r>
              <w:rPr>
                <w:rFonts w:ascii="宋体" w:hAnsi="宋体" w:hint="eastAsia"/>
                <w:bCs/>
                <w:iCs/>
                <w:sz w:val="24"/>
              </w:rPr>
              <w:t>华夏东方</w:t>
            </w:r>
            <w:proofErr w:type="gramEnd"/>
            <w:r>
              <w:rPr>
                <w:rFonts w:ascii="宋体" w:hAnsi="宋体" w:hint="eastAsia"/>
                <w:bCs/>
                <w:iCs/>
                <w:sz w:val="24"/>
              </w:rPr>
              <w:t>养老资产管理（蔡颖）、华泰证券（上海）资产管理（陈辛）、华宝基金（毛文博）、华安基金（刘潇、王春、孙博文、吴宇扬、戴杰妮、辛蔚）、鸿商资本（闫自超）、海通证券（胡幸）、海富通基金（陈林海）、国元证券（郭蔚文）、国投证券资产管理（刘亚洲）、国泰基金（姜英）、国泰海通证券（李煜）、国联民生（陈阳）、国联安基金（杨子江、王兴伟）、国海富兰克林基金（王晓宁）、广发证券资产管理（史彬）、广发医药（王稼宸）、广东正圆私募基金（陈泽敏）、光大证券（陈峰、刘勇）、光大保德信基金（高睿婷、钱彦君、崔书田、林晓凤）、工银安</w:t>
            </w:r>
            <w:proofErr w:type="gramStart"/>
            <w:r>
              <w:rPr>
                <w:rFonts w:ascii="宋体" w:hAnsi="宋体" w:hint="eastAsia"/>
                <w:bCs/>
                <w:iCs/>
                <w:sz w:val="24"/>
              </w:rPr>
              <w:t>盛资产</w:t>
            </w:r>
            <w:proofErr w:type="gramEnd"/>
            <w:r>
              <w:rPr>
                <w:rFonts w:ascii="宋体" w:hAnsi="宋体" w:hint="eastAsia"/>
                <w:bCs/>
                <w:iCs/>
                <w:sz w:val="24"/>
              </w:rPr>
              <w:t>管理（牛品）、富国基金（王卓立、李娜）、富安达基金（栾庆帅、路旭）、蜂巢基金（赵花琴）、东兴证券（王登立）、东方证券（刘迎、郭哲）、东方阿尔法基金（高丰臣）、东北证券（古翰羲）、德邦基金（曾叙衡）、淡水泉（北京）投资（胡学森）、</w:t>
            </w:r>
            <w:proofErr w:type="gramStart"/>
            <w:r>
              <w:rPr>
                <w:rFonts w:ascii="宋体" w:hAnsi="宋体" w:hint="eastAsia"/>
                <w:bCs/>
                <w:iCs/>
                <w:sz w:val="24"/>
              </w:rPr>
              <w:t>创金合</w:t>
            </w:r>
            <w:proofErr w:type="gramEnd"/>
            <w:r>
              <w:rPr>
                <w:rFonts w:ascii="宋体" w:hAnsi="宋体" w:hint="eastAsia"/>
                <w:bCs/>
                <w:iCs/>
                <w:sz w:val="24"/>
              </w:rPr>
              <w:t>信基金（刘扬、匡荣彪、王鑫）、渤海人寿保险（杨寅啸）、博道基金（徐志谋）、北京</w:t>
            </w:r>
            <w:proofErr w:type="gramStart"/>
            <w:r>
              <w:rPr>
                <w:rFonts w:ascii="宋体" w:hAnsi="宋体" w:hint="eastAsia"/>
                <w:bCs/>
                <w:iCs/>
                <w:sz w:val="24"/>
              </w:rPr>
              <w:t>禹田资本</w:t>
            </w:r>
            <w:proofErr w:type="gramEnd"/>
            <w:r>
              <w:rPr>
                <w:rFonts w:ascii="宋体" w:hAnsi="宋体" w:hint="eastAsia"/>
                <w:bCs/>
                <w:iCs/>
                <w:sz w:val="24"/>
              </w:rPr>
              <w:t>（郭星岩）、北京市星石投资（方磊）、北京尚艺投资（刘璐丹）、北京东方引擎投资（李青全）、安联保险资产管理（韩成盛）、Willing Capital Management Limited（</w:t>
            </w:r>
            <w:proofErr w:type="spellStart"/>
            <w:r>
              <w:rPr>
                <w:rFonts w:ascii="宋体" w:hAnsi="宋体" w:hint="eastAsia"/>
                <w:bCs/>
                <w:iCs/>
                <w:sz w:val="24"/>
              </w:rPr>
              <w:t>Jiamu</w:t>
            </w:r>
            <w:proofErr w:type="spellEnd"/>
            <w:r>
              <w:rPr>
                <w:rFonts w:ascii="宋体" w:hAnsi="宋体" w:hint="eastAsia"/>
                <w:bCs/>
                <w:iCs/>
                <w:sz w:val="24"/>
              </w:rPr>
              <w:t>）、HBM Partners Hong Kong Limited（Miranda郭牧青）、</w:t>
            </w:r>
            <w:proofErr w:type="spellStart"/>
            <w:r>
              <w:rPr>
                <w:rFonts w:ascii="宋体" w:hAnsi="宋体" w:hint="eastAsia"/>
                <w:bCs/>
                <w:iCs/>
                <w:sz w:val="24"/>
              </w:rPr>
              <w:t>Enreal</w:t>
            </w:r>
            <w:proofErr w:type="spellEnd"/>
            <w:r>
              <w:rPr>
                <w:rFonts w:ascii="宋体" w:hAnsi="宋体" w:hint="eastAsia"/>
                <w:bCs/>
                <w:iCs/>
                <w:sz w:val="24"/>
              </w:rPr>
              <w:t xml:space="preserve"> Asset Management Limited（</w:t>
            </w:r>
            <w:proofErr w:type="gramStart"/>
            <w:r>
              <w:rPr>
                <w:rFonts w:ascii="宋体" w:hAnsi="宋体" w:hint="eastAsia"/>
                <w:bCs/>
                <w:iCs/>
                <w:sz w:val="24"/>
              </w:rPr>
              <w:t>郄</w:t>
            </w:r>
            <w:proofErr w:type="gramEnd"/>
            <w:r>
              <w:rPr>
                <w:rFonts w:ascii="宋体" w:hAnsi="宋体" w:hint="eastAsia"/>
                <w:bCs/>
                <w:iCs/>
                <w:sz w:val="24"/>
              </w:rPr>
              <w:t>岩）、Dylan郭广洋</w:t>
            </w:r>
          </w:p>
        </w:tc>
      </w:tr>
      <w:tr w:rsidR="002E5700" w14:paraId="06B7C949" w14:textId="77777777">
        <w:trPr>
          <w:trHeight w:val="1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FC286" w14:textId="77777777" w:rsidR="002E5700" w:rsidRDefault="00715962">
            <w:pPr>
              <w:spacing w:line="480" w:lineRule="atLeast"/>
              <w:jc w:val="center"/>
              <w:rPr>
                <w:rFonts w:ascii="宋体" w:hAnsi="宋体"/>
                <w:bCs/>
                <w:iCs/>
                <w:sz w:val="24"/>
              </w:rPr>
            </w:pPr>
            <w:r>
              <w:rPr>
                <w:rFonts w:ascii="宋体" w:hAnsi="宋体" w:hint="eastAsia"/>
                <w:bCs/>
                <w:iCs/>
                <w:sz w:val="24"/>
              </w:rPr>
              <w:lastRenderedPageBreak/>
              <w:t xml:space="preserve">时 </w:t>
            </w:r>
            <w:r>
              <w:rPr>
                <w:rFonts w:ascii="宋体" w:hAnsi="宋体"/>
                <w:bCs/>
                <w:iCs/>
                <w:sz w:val="24"/>
              </w:rPr>
              <w:t xml:space="preserve"> </w:t>
            </w:r>
            <w:r>
              <w:rPr>
                <w:rFonts w:ascii="宋体" w:hAnsi="宋体" w:hint="eastAsia"/>
                <w:bCs/>
                <w:iCs/>
                <w:sz w:val="24"/>
              </w:rPr>
              <w:t>间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667C6" w14:textId="77777777" w:rsidR="002E5700" w:rsidRDefault="00715962">
            <w:pPr>
              <w:spacing w:line="480" w:lineRule="atLeast"/>
              <w:rPr>
                <w:rFonts w:ascii="宋体" w:hAnsi="宋体"/>
                <w:bCs/>
                <w:iCs/>
                <w:sz w:val="24"/>
              </w:rPr>
            </w:pPr>
            <w:r>
              <w:rPr>
                <w:rFonts w:ascii="宋体" w:hAnsi="宋体" w:hint="eastAsia"/>
                <w:bCs/>
                <w:iCs/>
                <w:sz w:val="24"/>
              </w:rPr>
              <w:t>2</w:t>
            </w:r>
            <w:r>
              <w:rPr>
                <w:rFonts w:ascii="宋体" w:hAnsi="宋体"/>
                <w:bCs/>
                <w:iCs/>
                <w:sz w:val="24"/>
              </w:rPr>
              <w:t>026</w:t>
            </w:r>
            <w:r>
              <w:rPr>
                <w:rFonts w:ascii="宋体" w:hAnsi="宋体" w:hint="eastAsia"/>
                <w:bCs/>
                <w:iCs/>
                <w:sz w:val="24"/>
              </w:rPr>
              <w:t>年</w:t>
            </w:r>
            <w:r>
              <w:rPr>
                <w:rFonts w:ascii="宋体" w:hAnsi="宋体"/>
                <w:bCs/>
                <w:iCs/>
                <w:sz w:val="24"/>
              </w:rPr>
              <w:t>11</w:t>
            </w:r>
            <w:r>
              <w:rPr>
                <w:rFonts w:ascii="宋体" w:hAnsi="宋体" w:hint="eastAsia"/>
                <w:bCs/>
                <w:iCs/>
                <w:sz w:val="24"/>
              </w:rPr>
              <w:t>月</w:t>
            </w:r>
            <w:r>
              <w:rPr>
                <w:rFonts w:ascii="宋体" w:hAnsi="宋体"/>
                <w:bCs/>
                <w:iCs/>
                <w:sz w:val="24"/>
              </w:rPr>
              <w:t>2</w:t>
            </w:r>
            <w:r>
              <w:rPr>
                <w:rFonts w:ascii="宋体" w:hAnsi="宋体" w:hint="eastAsia"/>
                <w:bCs/>
                <w:iCs/>
                <w:sz w:val="24"/>
              </w:rPr>
              <w:t>日1</w:t>
            </w:r>
            <w:r>
              <w:rPr>
                <w:rFonts w:ascii="宋体" w:hAnsi="宋体"/>
                <w:bCs/>
                <w:iCs/>
                <w:sz w:val="24"/>
              </w:rPr>
              <w:t>1</w:t>
            </w:r>
            <w:r>
              <w:rPr>
                <w:rFonts w:ascii="宋体" w:hAnsi="宋体" w:hint="eastAsia"/>
                <w:bCs/>
                <w:iCs/>
                <w:sz w:val="24"/>
              </w:rPr>
              <w:t>:0</w:t>
            </w:r>
            <w:r>
              <w:rPr>
                <w:rFonts w:ascii="宋体" w:hAnsi="宋体"/>
                <w:bCs/>
                <w:iCs/>
                <w:sz w:val="24"/>
              </w:rPr>
              <w:t>0</w:t>
            </w:r>
            <w:r w:rsidRPr="00E33227">
              <w:rPr>
                <w:rFonts w:ascii="宋体" w:hAnsi="宋体"/>
                <w:bCs/>
                <w:iCs/>
                <w:sz w:val="24"/>
              </w:rPr>
              <w:t>-</w:t>
            </w:r>
            <w:r w:rsidRPr="0024371C">
              <w:rPr>
                <w:rFonts w:ascii="宋体" w:hAnsi="宋体"/>
                <w:bCs/>
                <w:iCs/>
                <w:sz w:val="24"/>
              </w:rPr>
              <w:t>12:00</w:t>
            </w:r>
          </w:p>
        </w:tc>
      </w:tr>
      <w:tr w:rsidR="002E5700" w14:paraId="1024BC98" w14:textId="77777777">
        <w:trPr>
          <w:trHeight w:val="5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1AB64" w14:textId="77777777" w:rsidR="002E5700" w:rsidRDefault="00715962">
            <w:pPr>
              <w:spacing w:line="480" w:lineRule="atLeast"/>
              <w:jc w:val="center"/>
              <w:rPr>
                <w:rFonts w:ascii="宋体" w:hAnsi="宋体"/>
                <w:bCs/>
                <w:iCs/>
                <w:sz w:val="24"/>
              </w:rPr>
            </w:pPr>
            <w:r>
              <w:rPr>
                <w:rFonts w:ascii="宋体" w:hAnsi="宋体" w:hint="eastAsia"/>
                <w:bCs/>
                <w:iCs/>
                <w:sz w:val="24"/>
              </w:rPr>
              <w:t xml:space="preserve">地 </w:t>
            </w:r>
            <w:r>
              <w:rPr>
                <w:rFonts w:ascii="宋体" w:hAnsi="宋体"/>
                <w:bCs/>
                <w:iCs/>
                <w:sz w:val="24"/>
              </w:rPr>
              <w:t xml:space="preserve"> </w:t>
            </w:r>
            <w:r>
              <w:rPr>
                <w:rFonts w:ascii="宋体" w:hAnsi="宋体" w:hint="eastAsia"/>
                <w:bCs/>
                <w:iCs/>
                <w:sz w:val="24"/>
              </w:rPr>
              <w:t>点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90C2B" w14:textId="77777777" w:rsidR="002E5700" w:rsidRDefault="00715962">
            <w:pPr>
              <w:spacing w:line="480" w:lineRule="atLeast"/>
              <w:rPr>
                <w:rFonts w:ascii="宋体" w:hAnsi="宋体"/>
                <w:bCs/>
                <w:iCs/>
                <w:sz w:val="24"/>
              </w:rPr>
            </w:pPr>
            <w:r>
              <w:rPr>
                <w:rFonts w:ascii="宋体" w:hAnsi="宋体" w:hint="eastAsia"/>
                <w:bCs/>
                <w:iCs/>
                <w:sz w:val="24"/>
              </w:rPr>
              <w:t>电话会议</w:t>
            </w:r>
          </w:p>
        </w:tc>
      </w:tr>
      <w:tr w:rsidR="002E5700" w14:paraId="7A0B0A28" w14:textId="77777777">
        <w:trPr>
          <w:trHeight w:val="55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3C711" w14:textId="77777777" w:rsidR="002E5700" w:rsidRDefault="00715962">
            <w:pPr>
              <w:spacing w:line="480" w:lineRule="atLeast"/>
              <w:jc w:val="center"/>
              <w:rPr>
                <w:rFonts w:ascii="宋体" w:hAnsi="宋体"/>
                <w:bCs/>
                <w:iCs/>
                <w:sz w:val="24"/>
              </w:rPr>
            </w:pPr>
            <w:r>
              <w:rPr>
                <w:rFonts w:ascii="宋体" w:hAnsi="宋体" w:hint="eastAsia"/>
                <w:bCs/>
                <w:iCs/>
                <w:sz w:val="24"/>
              </w:rPr>
              <w:t>接待人员姓名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C5E43" w14:textId="77777777" w:rsidR="002E5700" w:rsidRDefault="00715962">
            <w:pPr>
              <w:spacing w:line="480" w:lineRule="atLeast"/>
              <w:rPr>
                <w:rFonts w:ascii="宋体" w:hAnsi="宋体"/>
                <w:bCs/>
                <w:iCs/>
                <w:sz w:val="24"/>
              </w:rPr>
            </w:pPr>
            <w:r>
              <w:rPr>
                <w:rFonts w:ascii="宋体" w:hAnsi="宋体" w:hint="eastAsia"/>
                <w:bCs/>
                <w:iCs/>
                <w:sz w:val="24"/>
              </w:rPr>
              <w:t xml:space="preserve">董事、副总经理 </w:t>
            </w:r>
            <w:r>
              <w:rPr>
                <w:rFonts w:ascii="宋体" w:hAnsi="宋体"/>
                <w:bCs/>
                <w:iCs/>
                <w:sz w:val="24"/>
              </w:rPr>
              <w:t xml:space="preserve">     </w:t>
            </w:r>
            <w:r>
              <w:rPr>
                <w:rFonts w:ascii="宋体" w:hAnsi="宋体" w:hint="eastAsia"/>
                <w:bCs/>
                <w:iCs/>
                <w:sz w:val="24"/>
              </w:rPr>
              <w:t>康小然</w:t>
            </w:r>
          </w:p>
          <w:p w14:paraId="4D141D9D" w14:textId="77777777" w:rsidR="002E5700" w:rsidRDefault="00715962">
            <w:pPr>
              <w:spacing w:line="480" w:lineRule="atLeast"/>
              <w:rPr>
                <w:rFonts w:ascii="宋体" w:hAnsi="宋体"/>
                <w:bCs/>
                <w:iCs/>
                <w:sz w:val="24"/>
              </w:rPr>
            </w:pPr>
            <w:r>
              <w:rPr>
                <w:rFonts w:ascii="宋体" w:hAnsi="宋体" w:hint="eastAsia"/>
                <w:bCs/>
                <w:iCs/>
                <w:sz w:val="24"/>
              </w:rPr>
              <w:t xml:space="preserve">董事、董事会秘书 </w:t>
            </w:r>
            <w:r>
              <w:rPr>
                <w:rFonts w:ascii="宋体" w:hAnsi="宋体"/>
                <w:bCs/>
                <w:iCs/>
                <w:sz w:val="24"/>
              </w:rPr>
              <w:t xml:space="preserve">   </w:t>
            </w:r>
            <w:r>
              <w:rPr>
                <w:rFonts w:ascii="宋体" w:hAnsi="宋体" w:hint="eastAsia"/>
                <w:bCs/>
                <w:iCs/>
                <w:sz w:val="24"/>
              </w:rPr>
              <w:t xml:space="preserve">黄 </w:t>
            </w:r>
            <w:r>
              <w:rPr>
                <w:rFonts w:ascii="宋体" w:hAnsi="宋体"/>
                <w:bCs/>
                <w:iCs/>
                <w:sz w:val="24"/>
              </w:rPr>
              <w:t xml:space="preserve"> </w:t>
            </w:r>
            <w:proofErr w:type="gramStart"/>
            <w:r>
              <w:rPr>
                <w:rFonts w:ascii="宋体" w:hAnsi="宋体" w:hint="eastAsia"/>
                <w:bCs/>
                <w:iCs/>
                <w:sz w:val="24"/>
              </w:rPr>
              <w:t>凯</w:t>
            </w:r>
            <w:proofErr w:type="gramEnd"/>
          </w:p>
          <w:p w14:paraId="4AD8CBB0" w14:textId="77777777" w:rsidR="002E5700" w:rsidRDefault="00715962">
            <w:pPr>
              <w:spacing w:line="480" w:lineRule="atLeast"/>
              <w:rPr>
                <w:rFonts w:ascii="宋体" w:hAnsi="宋体"/>
                <w:bCs/>
                <w:iCs/>
                <w:sz w:val="24"/>
              </w:rPr>
            </w:pPr>
            <w:r>
              <w:rPr>
                <w:rFonts w:ascii="宋体" w:hAnsi="宋体" w:hint="eastAsia"/>
                <w:bCs/>
                <w:iCs/>
                <w:sz w:val="24"/>
              </w:rPr>
              <w:t xml:space="preserve">证券事务代表 </w:t>
            </w:r>
            <w:r>
              <w:rPr>
                <w:rFonts w:ascii="宋体" w:hAnsi="宋体"/>
                <w:bCs/>
                <w:iCs/>
                <w:sz w:val="24"/>
              </w:rPr>
              <w:t xml:space="preserve">       </w:t>
            </w:r>
            <w:r>
              <w:rPr>
                <w:rFonts w:ascii="宋体" w:hAnsi="宋体" w:hint="eastAsia"/>
                <w:bCs/>
                <w:iCs/>
                <w:sz w:val="24"/>
              </w:rPr>
              <w:t>张希丹</w:t>
            </w:r>
          </w:p>
        </w:tc>
      </w:tr>
      <w:tr w:rsidR="002E5700" w14:paraId="7F3D23EB" w14:textId="7777777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5C2E8" w14:textId="77777777" w:rsidR="002E5700" w:rsidRDefault="00715962">
            <w:pPr>
              <w:spacing w:line="480" w:lineRule="atLeast"/>
              <w:jc w:val="center"/>
              <w:rPr>
                <w:rFonts w:asciiTheme="minorEastAsia" w:eastAsiaTheme="minorEastAsia" w:hAnsiTheme="minorEastAsia"/>
                <w:bCs/>
                <w:iCs/>
                <w:sz w:val="24"/>
              </w:rPr>
            </w:pPr>
            <w:r>
              <w:rPr>
                <w:rFonts w:asciiTheme="minorEastAsia" w:eastAsiaTheme="minorEastAsia" w:hAnsiTheme="minorEastAsia" w:hint="eastAsia"/>
                <w:bCs/>
                <w:iCs/>
                <w:sz w:val="24"/>
              </w:rPr>
              <w:lastRenderedPageBreak/>
              <w:t>投资者关系活动主要内容介绍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2484B" w14:textId="77777777" w:rsidR="002E5700" w:rsidRDefault="00715962">
            <w:pPr>
              <w:spacing w:line="360" w:lineRule="auto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一、公司介绍2</w:t>
            </w:r>
            <w:r>
              <w:rPr>
                <w:rFonts w:ascii="宋体" w:hAnsi="宋体" w:cs="宋体"/>
                <w:b/>
                <w:sz w:val="24"/>
              </w:rPr>
              <w:t>026</w:t>
            </w:r>
            <w:r>
              <w:rPr>
                <w:rFonts w:ascii="宋体" w:hAnsi="宋体" w:cs="宋体" w:hint="eastAsia"/>
                <w:b/>
                <w:sz w:val="24"/>
              </w:rPr>
              <w:t>年第三季度的经营情况</w:t>
            </w:r>
          </w:p>
          <w:p w14:paraId="1CF86917" w14:textId="6FAAFAD1" w:rsidR="002E5700" w:rsidRDefault="0024371C">
            <w:pPr>
              <w:spacing w:line="360" w:lineRule="auto"/>
              <w:ind w:firstLine="482"/>
              <w:rPr>
                <w:rFonts w:ascii="宋体" w:hAnsi="宋体" w:cs="仿宋"/>
                <w:sz w:val="24"/>
              </w:rPr>
            </w:pPr>
            <w:r>
              <w:rPr>
                <w:rFonts w:ascii="宋体" w:hAnsi="宋体" w:cs="仿宋" w:hint="eastAsia"/>
                <w:sz w:val="24"/>
              </w:rPr>
              <w:t>公司三季报已于</w:t>
            </w:r>
            <w:r w:rsidR="00715962">
              <w:rPr>
                <w:rFonts w:ascii="宋体" w:hAnsi="宋体" w:cs="仿宋" w:hint="eastAsia"/>
                <w:sz w:val="24"/>
              </w:rPr>
              <w:t>2026年10月31日披露。总体来看，公司前三季度尤其是第三季度较好地完成经营目标，整体经营态势持续向好，为全年收入、利润等经营目标的达成奠定了坚实基础。</w:t>
            </w:r>
          </w:p>
          <w:p w14:paraId="00E46A88" w14:textId="6CCE18AE" w:rsidR="002E5700" w:rsidRDefault="00715962">
            <w:pPr>
              <w:spacing w:line="360" w:lineRule="auto"/>
              <w:ind w:firstLine="482"/>
              <w:rPr>
                <w:rFonts w:ascii="宋体" w:hAnsi="宋体" w:cs="仿宋"/>
                <w:sz w:val="24"/>
              </w:rPr>
            </w:pPr>
            <w:r>
              <w:rPr>
                <w:rFonts w:ascii="宋体" w:hAnsi="宋体" w:cs="仿宋" w:hint="eastAsia"/>
                <w:sz w:val="24"/>
              </w:rPr>
              <w:t>第三季度，公司实现营业收入1.45亿元，同比增长1</w:t>
            </w:r>
            <w:r w:rsidR="00E33227">
              <w:rPr>
                <w:rFonts w:ascii="宋体" w:hAnsi="宋体" w:cs="仿宋"/>
                <w:sz w:val="24"/>
              </w:rPr>
              <w:t>7.77</w:t>
            </w:r>
            <w:r>
              <w:rPr>
                <w:rFonts w:ascii="宋体" w:hAnsi="宋体" w:cs="仿宋" w:hint="eastAsia"/>
                <w:sz w:val="24"/>
              </w:rPr>
              <w:t>%；利润总额2</w:t>
            </w:r>
            <w:r>
              <w:rPr>
                <w:rFonts w:ascii="宋体" w:hAnsi="宋体" w:cs="仿宋"/>
                <w:sz w:val="24"/>
              </w:rPr>
              <w:t>,</w:t>
            </w:r>
            <w:r>
              <w:rPr>
                <w:rFonts w:ascii="宋体" w:hAnsi="宋体" w:cs="仿宋" w:hint="eastAsia"/>
                <w:sz w:val="24"/>
              </w:rPr>
              <w:t>56</w:t>
            </w:r>
            <w:r w:rsidR="00E33227">
              <w:rPr>
                <w:rFonts w:ascii="宋体" w:hAnsi="宋体" w:cs="仿宋"/>
                <w:sz w:val="24"/>
              </w:rPr>
              <w:t>1.15</w:t>
            </w:r>
            <w:r>
              <w:rPr>
                <w:rFonts w:ascii="宋体" w:hAnsi="宋体" w:cs="仿宋" w:hint="eastAsia"/>
                <w:sz w:val="24"/>
              </w:rPr>
              <w:t>万元，同比增</w:t>
            </w:r>
            <w:r w:rsidR="00E33227">
              <w:rPr>
                <w:rFonts w:ascii="宋体" w:hAnsi="宋体" w:cs="仿宋" w:hint="eastAsia"/>
                <w:sz w:val="24"/>
              </w:rPr>
              <w:t>长1</w:t>
            </w:r>
            <w:r w:rsidR="00E33227">
              <w:rPr>
                <w:rFonts w:ascii="宋体" w:hAnsi="宋体" w:cs="仿宋"/>
                <w:sz w:val="24"/>
              </w:rPr>
              <w:t>43.77</w:t>
            </w:r>
            <w:r>
              <w:rPr>
                <w:rFonts w:ascii="宋体" w:hAnsi="宋体" w:cs="仿宋" w:hint="eastAsia"/>
                <w:sz w:val="24"/>
              </w:rPr>
              <w:t>%；归属于上市公司股东的净利润1</w:t>
            </w:r>
            <w:r>
              <w:rPr>
                <w:rFonts w:ascii="宋体" w:hAnsi="宋体" w:cs="仿宋"/>
                <w:sz w:val="24"/>
              </w:rPr>
              <w:t>,</w:t>
            </w:r>
            <w:r w:rsidR="00E33227">
              <w:rPr>
                <w:rFonts w:ascii="宋体" w:hAnsi="宋体" w:cs="仿宋"/>
                <w:sz w:val="24"/>
              </w:rPr>
              <w:t>881.87</w:t>
            </w:r>
            <w:r>
              <w:rPr>
                <w:rFonts w:ascii="宋体" w:hAnsi="宋体" w:cs="仿宋" w:hint="eastAsia"/>
                <w:sz w:val="24"/>
              </w:rPr>
              <w:t>万元</w:t>
            </w:r>
            <w:r w:rsidR="0024371C">
              <w:rPr>
                <w:rFonts w:ascii="宋体" w:hAnsi="宋体" w:cs="仿宋" w:hint="eastAsia"/>
                <w:sz w:val="24"/>
              </w:rPr>
              <w:t>，同比增长1</w:t>
            </w:r>
            <w:r w:rsidR="0024371C">
              <w:rPr>
                <w:rFonts w:ascii="宋体" w:hAnsi="宋体" w:cs="仿宋"/>
                <w:sz w:val="24"/>
              </w:rPr>
              <w:t>58.63%</w:t>
            </w:r>
            <w:r>
              <w:rPr>
                <w:rFonts w:ascii="宋体" w:hAnsi="宋体" w:cs="仿宋" w:hint="eastAsia"/>
                <w:sz w:val="24"/>
              </w:rPr>
              <w:t>。</w:t>
            </w:r>
          </w:p>
          <w:p w14:paraId="55D78858" w14:textId="5C28B3B9" w:rsidR="002E5700" w:rsidRDefault="00715962">
            <w:pPr>
              <w:spacing w:line="360" w:lineRule="auto"/>
              <w:ind w:firstLine="482"/>
              <w:rPr>
                <w:rFonts w:ascii="宋体" w:hAnsi="宋体" w:cs="仿宋"/>
                <w:sz w:val="24"/>
              </w:rPr>
            </w:pPr>
            <w:r>
              <w:rPr>
                <w:rFonts w:ascii="宋体" w:hAnsi="宋体" w:cs="仿宋" w:hint="eastAsia"/>
                <w:sz w:val="24"/>
              </w:rPr>
              <w:t>前三季度公司累计实现营业收入4.5亿元，同比增长23.66%；利润总额9</w:t>
            </w:r>
            <w:r>
              <w:rPr>
                <w:rFonts w:ascii="宋体" w:hAnsi="宋体" w:cs="仿宋"/>
                <w:sz w:val="24"/>
              </w:rPr>
              <w:t>,</w:t>
            </w:r>
            <w:r>
              <w:rPr>
                <w:rFonts w:ascii="宋体" w:hAnsi="宋体" w:cs="仿宋" w:hint="eastAsia"/>
                <w:sz w:val="24"/>
              </w:rPr>
              <w:t>277</w:t>
            </w:r>
            <w:r w:rsidR="00E33227">
              <w:rPr>
                <w:rFonts w:ascii="宋体" w:hAnsi="宋体" w:cs="仿宋"/>
                <w:sz w:val="24"/>
              </w:rPr>
              <w:t>.11</w:t>
            </w:r>
            <w:r>
              <w:rPr>
                <w:rFonts w:ascii="宋体" w:hAnsi="宋体" w:cs="仿宋" w:hint="eastAsia"/>
                <w:sz w:val="24"/>
              </w:rPr>
              <w:t>万元，同比增长176.79%；归属于上市公司股东的净利润6</w:t>
            </w:r>
            <w:r>
              <w:rPr>
                <w:rFonts w:ascii="宋体" w:hAnsi="宋体" w:cs="仿宋"/>
                <w:sz w:val="24"/>
              </w:rPr>
              <w:t>,</w:t>
            </w:r>
            <w:r>
              <w:rPr>
                <w:rFonts w:ascii="宋体" w:hAnsi="宋体" w:cs="仿宋" w:hint="eastAsia"/>
                <w:sz w:val="24"/>
              </w:rPr>
              <w:t>91</w:t>
            </w:r>
            <w:r w:rsidR="00E33227">
              <w:rPr>
                <w:rFonts w:ascii="宋体" w:hAnsi="宋体" w:cs="仿宋"/>
                <w:sz w:val="24"/>
              </w:rPr>
              <w:t>4.52</w:t>
            </w:r>
            <w:r>
              <w:rPr>
                <w:rFonts w:ascii="宋体" w:hAnsi="宋体" w:cs="仿宋" w:hint="eastAsia"/>
                <w:sz w:val="24"/>
              </w:rPr>
              <w:t>万元，同比增长227.42%。</w:t>
            </w:r>
          </w:p>
          <w:p w14:paraId="7FADA39F" w14:textId="3594CE03" w:rsidR="002E5700" w:rsidRDefault="00715962">
            <w:pPr>
              <w:spacing w:line="360" w:lineRule="auto"/>
              <w:ind w:firstLineChars="200" w:firstLine="480"/>
              <w:rPr>
                <w:rFonts w:ascii="宋体" w:hAnsi="宋体" w:cs="仿宋"/>
                <w:sz w:val="24"/>
              </w:rPr>
            </w:pPr>
            <w:r>
              <w:rPr>
                <w:rFonts w:ascii="宋体" w:hAnsi="宋体" w:cs="仿宋" w:hint="eastAsia"/>
                <w:sz w:val="24"/>
              </w:rPr>
              <w:t>如前述，公司前三季度经营持续向好。当前已进入十</w:t>
            </w:r>
            <w:r w:rsidR="00E33227">
              <w:rPr>
                <w:rFonts w:ascii="宋体" w:hAnsi="宋体" w:cs="仿宋" w:hint="eastAsia"/>
                <w:sz w:val="24"/>
              </w:rPr>
              <w:t>一</w:t>
            </w:r>
            <w:r>
              <w:rPr>
                <w:rFonts w:ascii="宋体" w:hAnsi="宋体" w:cs="仿宋" w:hint="eastAsia"/>
                <w:sz w:val="24"/>
              </w:rPr>
              <w:t>月，剩余两个月的经营窗口将依托前三季度的良好基础，助力全年经营目标落地。</w:t>
            </w:r>
          </w:p>
          <w:p w14:paraId="1DDA7DF8" w14:textId="77777777" w:rsidR="002E5700" w:rsidRDefault="00715962">
            <w:pPr>
              <w:spacing w:line="360" w:lineRule="auto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二、互动交流环节</w:t>
            </w:r>
          </w:p>
          <w:p w14:paraId="75B929FC" w14:textId="77777777" w:rsidR="002E5700" w:rsidRDefault="00715962">
            <w:pPr>
              <w:spacing w:line="360" w:lineRule="auto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1、第八批神经</w:t>
            </w:r>
            <w:proofErr w:type="gramStart"/>
            <w:r>
              <w:rPr>
                <w:rFonts w:ascii="宋体" w:hAnsi="宋体" w:cs="宋体" w:hint="eastAsia"/>
                <w:b/>
                <w:sz w:val="24"/>
              </w:rPr>
              <w:t>介入国采</w:t>
            </w:r>
            <w:proofErr w:type="gramEnd"/>
            <w:r>
              <w:rPr>
                <w:rFonts w:ascii="宋体" w:hAnsi="宋体" w:cs="宋体" w:hint="eastAsia"/>
                <w:b/>
                <w:sz w:val="24"/>
              </w:rPr>
              <w:t>的背景、推进节奏、覆盖范围如何？公司如何看待其影响及自身机会？</w:t>
            </w:r>
          </w:p>
          <w:p w14:paraId="5B8CA18E" w14:textId="57E9BFE5" w:rsidR="002E5700" w:rsidRDefault="00715962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答：第八批国采神经介入产品线在年初已成为市场焦点，10</w:t>
            </w:r>
            <w:r w:rsidR="00CA452F">
              <w:rPr>
                <w:rFonts w:ascii="宋体" w:hAnsi="宋体" w:cs="宋体" w:hint="eastAsia"/>
                <w:sz w:val="24"/>
              </w:rPr>
              <w:t>月发布正式通知开展产品维护，目前正在开展</w:t>
            </w:r>
            <w:r>
              <w:rPr>
                <w:rFonts w:ascii="宋体" w:hAnsi="宋体" w:cs="宋体" w:hint="eastAsia"/>
                <w:sz w:val="24"/>
              </w:rPr>
              <w:t>历史报量；预计年内出台落地方案并申报需求量，执行在2027年一季度。本次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国采几乎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覆盖神经介入全部产品，仅排除两个已基本覆盖全国的品类：一是颅内球囊，此前由河北“3+N”联盟牵头、覆盖全国25个省份，2025年已落地，价格和分量基本稳定；二是密网支架，由江苏牵头省级联盟，2026年9月启动、10月报量，预计推进节奏快于第八批国采，将剩余5个省份纳入后实现全国覆盖。除上述品类外，其余神经介入产品均纳入第八批国采，主要针对此前未形成多省际联盟、仅存在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单省或少省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联盟集采的产品，实现全面国采。政策层面，参考第六批、第七批及冠脉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支架续采政策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，集采节奏趋于温和，或设置价格指导线，有望避免极端低价及强淘汰机制带来的价格冲击；国家旨在拉平全国神经介入手术价格，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使各术式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、疾病费用符合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医保控费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要求，同时支持真创新。对公司神经业务而言是重要机会，公司在颅内狭窄领域（ICAD）业务基础较强，2026年密网支架增长较快，江苏联</w:t>
            </w:r>
            <w:r>
              <w:rPr>
                <w:rFonts w:ascii="宋体" w:hAnsi="宋体" w:cs="宋体" w:hint="eastAsia"/>
                <w:sz w:val="24"/>
              </w:rPr>
              <w:lastRenderedPageBreak/>
              <w:t>盟集采有助于拓宽密网支架市场与医院准入；颅内动脉瘤辅助支架于2026年年初获批，赶上第八批集采报量及定价；公司在通路类、取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栓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等高端产品领域存量较低，集采将加速新产品进院准入与转化，有望让赛诺神经业务享受集采红利，尽管终端价格会有一定下降，但新增业务及现有业务放量有望形成支撑。 公司正与联采办积极沟通，汇报产品情况、市场竞争格局及产品差异化特点，推动针对产品特色制定合理方案，整体对本次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国采持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积极乐观态度。</w:t>
            </w:r>
          </w:p>
          <w:p w14:paraId="3D1EABEA" w14:textId="77777777" w:rsidR="002E5700" w:rsidRDefault="00715962">
            <w:pPr>
              <w:spacing w:line="360" w:lineRule="auto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2、神经介入行业国产化率处于什么水平？集采后国产化率趋势及国产厂商机会如何？</w:t>
            </w:r>
          </w:p>
          <w:p w14:paraId="5CB5F5FD" w14:textId="77777777" w:rsidR="002E5700" w:rsidRDefault="00715962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答：过去3至5年神经介入市场增长来自两方面：一是整体手术容量、市场规模持续扩大；二是国产产品增速远高于行业平均增速。截至2026年，神经介入整体国产化率达到30%以上，但不同产品单元差异较大，神经介入涉及三类疾病、十余个产品品类。密网支架、动脉瘤辅助支架等高端治疗领域，因国产产品准入节奏较慢，国产化率转化水平相对更低。 未来国产厂商机会较大，行业仍处于高速发展阶段，手术容量、医院规模及大宗耗材、创新耗材应用持续增长；国产企业将同时享受国产替代转化与行业高增速发展两方面红利。</w:t>
            </w:r>
          </w:p>
          <w:p w14:paraId="4BAADDC6" w14:textId="77777777" w:rsidR="002E5700" w:rsidRDefault="00715962">
            <w:pPr>
              <w:spacing w:line="360" w:lineRule="auto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3、第八批神经</w:t>
            </w:r>
            <w:proofErr w:type="gramStart"/>
            <w:r>
              <w:rPr>
                <w:rFonts w:ascii="宋体" w:hAnsi="宋体" w:cs="宋体" w:hint="eastAsia"/>
                <w:b/>
                <w:sz w:val="24"/>
              </w:rPr>
              <w:t>介入国采</w:t>
            </w:r>
            <w:proofErr w:type="gramEnd"/>
            <w:r>
              <w:rPr>
                <w:rFonts w:ascii="宋体" w:hAnsi="宋体" w:cs="宋体" w:hint="eastAsia"/>
                <w:b/>
                <w:sz w:val="24"/>
              </w:rPr>
              <w:t>的预计价格降幅区间是多少？不同品类的降价逻辑有何差异？</w:t>
            </w:r>
          </w:p>
          <w:p w14:paraId="750AE039" w14:textId="78CD60C9" w:rsidR="002E5700" w:rsidRDefault="00715962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答：自2021年弹簧圈集采开始，神经介入行业历经多轮省级、省际联盟集采，2022年弹簧圈、2023年通路类产品、2024年起密网支架陆续开展省份集采，前期高价产品已大幅降价，密网支架终端价格从10万元以上降至5-6万元；颅内球囊因省级联盟已覆盖足够多省份、价格处于较低水平，因此未纳入第八批国采，密网支架通过江苏牵头联盟增补剩余5个省份实现全国覆盖，</w:t>
            </w:r>
            <w:r w:rsidR="00176D15">
              <w:rPr>
                <w:rFonts w:ascii="宋体" w:hAnsi="宋体" w:cs="宋体" w:hint="eastAsia"/>
                <w:sz w:val="24"/>
              </w:rPr>
              <w:t>同样不</w:t>
            </w:r>
            <w:r>
              <w:rPr>
                <w:rFonts w:ascii="宋体" w:hAnsi="宋体" w:cs="宋体" w:hint="eastAsia"/>
                <w:sz w:val="24"/>
              </w:rPr>
              <w:t>纳入</w:t>
            </w:r>
            <w:r w:rsidR="00176D15">
              <w:rPr>
                <w:rFonts w:ascii="宋体" w:hAnsi="宋体" w:cs="宋体" w:hint="eastAsia"/>
                <w:sz w:val="24"/>
              </w:rPr>
              <w:t>本次国采</w:t>
            </w:r>
            <w:r>
              <w:rPr>
                <w:rFonts w:ascii="宋体" w:hAnsi="宋体" w:cs="宋体" w:hint="eastAsia"/>
                <w:sz w:val="24"/>
              </w:rPr>
              <w:t>。本次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国采价格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仍会有降幅，核心是拉平双重价格体系，以NOVA支架为例，此前部分省份进入省级或省际联动集采、部分省份正常挂网入院，国采后将实现全国价格体系统一。分品类看，过往已充分竞争、价格合理的品类进一步降价空间较小，如通路类的中间导管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终端价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已降至1</w:t>
            </w:r>
            <w:r>
              <w:rPr>
                <w:rFonts w:ascii="宋体" w:hAnsi="宋体" w:cs="宋体"/>
                <w:sz w:val="24"/>
              </w:rPr>
              <w:t>,</w:t>
            </w:r>
            <w:r>
              <w:rPr>
                <w:rFonts w:ascii="宋体" w:hAnsi="宋体" w:cs="宋体" w:hint="eastAsia"/>
                <w:sz w:val="24"/>
              </w:rPr>
              <w:t>800元-2</w:t>
            </w:r>
            <w:r>
              <w:rPr>
                <w:rFonts w:ascii="宋体" w:hAnsi="宋体" w:cs="宋体"/>
                <w:sz w:val="24"/>
              </w:rPr>
              <w:t>,</w:t>
            </w:r>
            <w:r>
              <w:rPr>
                <w:rFonts w:ascii="宋体" w:hAnsi="宋体" w:cs="宋体" w:hint="eastAsia"/>
                <w:sz w:val="24"/>
              </w:rPr>
              <w:t>000元，再降价意</w:t>
            </w:r>
            <w:r>
              <w:rPr>
                <w:rFonts w:ascii="宋体" w:hAnsi="宋体" w:cs="宋体" w:hint="eastAsia"/>
                <w:sz w:val="24"/>
              </w:rPr>
              <w:lastRenderedPageBreak/>
              <w:t>义不大；尚未集采的品类如导丝，将面临国家级整体价格降幅；动脉瘤辅助支架当前终端价格三万多元，部分省份集采后已降至2万元左右，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本次国采将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拉平全国价格，并在现有价格基础上略有下降。整体降幅不会对标外周血管、冠脉血管耗材，原因是神经介入手术容量更小、细分产品终端销量不高，政策将保留厂家合理利润率，最终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降幅需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等待联采办正式规则出台。</w:t>
            </w:r>
          </w:p>
          <w:p w14:paraId="3D48EF1B" w14:textId="77777777" w:rsidR="002E5700" w:rsidRDefault="00715962">
            <w:pPr>
              <w:spacing w:line="360" w:lineRule="auto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4、神经介入产品当前的渠道扣率处于什么水平？集采后不同品类渠道扣率有何差异及变化趋势？</w:t>
            </w:r>
          </w:p>
          <w:p w14:paraId="3209B726" w14:textId="77777777" w:rsidR="002E5700" w:rsidRDefault="00715962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答：神经介入产品渠道扣率主要取决于产品特性及渠道服务内容。需要渠道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承担跟台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、技术指导服务的品类，扣率维持常规国产产品水平；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进入国采的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通路类产品，扣率已回落至与冠脉耗材相近水平，渠道仅承担分发、医院配送、收集反馈信息等职能。未来产品越成熟、对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技术跟台服务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要求越低，渠道扣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率空间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越合理；具备技术支持属性的产品，仍需保留部分渠道利润空间覆盖技术支持环节。</w:t>
            </w:r>
          </w:p>
          <w:p w14:paraId="171933C0" w14:textId="77777777" w:rsidR="002B66EE" w:rsidRDefault="00715962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5、自</w:t>
            </w:r>
            <w:proofErr w:type="gramStart"/>
            <w:r>
              <w:rPr>
                <w:rFonts w:ascii="宋体" w:hAnsi="宋体" w:cs="宋体" w:hint="eastAsia"/>
                <w:b/>
                <w:sz w:val="24"/>
              </w:rPr>
              <w:t>膨药物</w:t>
            </w:r>
            <w:proofErr w:type="gramEnd"/>
            <w:r>
              <w:rPr>
                <w:rFonts w:ascii="宋体" w:hAnsi="宋体" w:cs="宋体" w:hint="eastAsia"/>
                <w:b/>
                <w:sz w:val="24"/>
              </w:rPr>
              <w:t>涂层支架（COMET</w:t>
            </w:r>
            <w:r w:rsidR="004B472E">
              <w:rPr>
                <w:rFonts w:ascii="宋体" w:hAnsi="宋体" w:cs="宋体" w:hint="eastAsia"/>
                <w:b/>
                <w:sz w:val="24"/>
              </w:rPr>
              <w:t>IU</w:t>
            </w:r>
            <w:r>
              <w:rPr>
                <w:rFonts w:ascii="宋体" w:hAnsi="宋体" w:cs="宋体" w:hint="eastAsia"/>
                <w:b/>
                <w:sz w:val="24"/>
              </w:rPr>
              <w:t>）在海内外的后续安排和出海进度？</w:t>
            </w:r>
          </w:p>
          <w:p w14:paraId="3122CF66" w14:textId="23DAAC85" w:rsidR="002E5700" w:rsidRDefault="004D1D07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答：</w:t>
            </w:r>
            <w:r w:rsidR="00715962">
              <w:rPr>
                <w:rFonts w:ascii="宋体" w:hAnsi="宋体" w:cs="宋体" w:hint="eastAsia"/>
                <w:sz w:val="24"/>
              </w:rPr>
              <w:t>自膨支架</w:t>
            </w:r>
            <w:r w:rsidR="00346EC0">
              <w:rPr>
                <w:rFonts w:ascii="宋体" w:hAnsi="宋体" w:cs="宋体" w:hint="eastAsia"/>
                <w:sz w:val="24"/>
              </w:rPr>
              <w:t>已</w:t>
            </w:r>
            <w:r w:rsidR="00715962">
              <w:rPr>
                <w:rFonts w:ascii="宋体" w:hAnsi="宋体" w:cs="宋体" w:hint="eastAsia"/>
                <w:sz w:val="24"/>
              </w:rPr>
              <w:t>于2</w:t>
            </w:r>
            <w:r w:rsidR="00715962">
              <w:rPr>
                <w:rFonts w:ascii="宋体" w:hAnsi="宋体" w:cs="宋体"/>
                <w:sz w:val="24"/>
              </w:rPr>
              <w:t>0</w:t>
            </w:r>
            <w:r w:rsidR="00715962">
              <w:rPr>
                <w:rFonts w:ascii="宋体" w:hAnsi="宋体" w:cs="宋体" w:hint="eastAsia"/>
                <w:sz w:val="24"/>
              </w:rPr>
              <w:t>26年8</w:t>
            </w:r>
            <w:r>
              <w:rPr>
                <w:rFonts w:ascii="宋体" w:hAnsi="宋体" w:cs="宋体" w:hint="eastAsia"/>
                <w:sz w:val="24"/>
              </w:rPr>
              <w:t>月</w:t>
            </w:r>
            <w:r w:rsidR="00715962">
              <w:rPr>
                <w:rFonts w:ascii="宋体" w:hAnsi="宋体" w:cs="宋体" w:hint="eastAsia"/>
                <w:sz w:val="24"/>
              </w:rPr>
              <w:t>拿到欧盟MDR认证，与其匹配的自膨支架微导管COMEX预计在2026年Q4</w:t>
            </w:r>
            <w:r w:rsidR="005A57EF">
              <w:rPr>
                <w:rFonts w:ascii="宋体" w:hAnsi="宋体" w:cs="宋体" w:hint="eastAsia"/>
                <w:sz w:val="24"/>
              </w:rPr>
              <w:t>取得</w:t>
            </w:r>
            <w:r w:rsidR="00715962">
              <w:rPr>
                <w:rFonts w:ascii="宋体" w:hAnsi="宋体" w:cs="宋体" w:hint="eastAsia"/>
                <w:sz w:val="24"/>
              </w:rPr>
              <w:t>MDR认证，两个产品将在欧洲成为该疗法的首个整体解决方案，以单一支架、简化操作化繁为简形成综合解决方案。该产品是</w:t>
            </w:r>
            <w:r w:rsidR="003C0048">
              <w:rPr>
                <w:rFonts w:ascii="宋体" w:hAnsi="宋体" w:cs="宋体"/>
                <w:sz w:val="24"/>
              </w:rPr>
              <w:t>f</w:t>
            </w:r>
            <w:r w:rsidR="003C0048">
              <w:rPr>
                <w:rFonts w:ascii="宋体" w:hAnsi="宋体" w:cs="宋体" w:hint="eastAsia"/>
                <w:sz w:val="24"/>
              </w:rPr>
              <w:t>irst-in-</w:t>
            </w:r>
            <w:r w:rsidR="003C0048">
              <w:rPr>
                <w:rFonts w:ascii="宋体" w:hAnsi="宋体" w:cs="宋体"/>
                <w:sz w:val="24"/>
              </w:rPr>
              <w:t>c</w:t>
            </w:r>
            <w:r w:rsidR="00715962">
              <w:rPr>
                <w:rFonts w:ascii="宋体" w:hAnsi="宋体" w:cs="宋体" w:hint="eastAsia"/>
                <w:sz w:val="24"/>
              </w:rPr>
              <w:t>lass产品，也是欧盟首个获得MDR批准的颅内含药组合器械，目前公司已完成拿到MDR后的生产准备环节，具体商业化策略以后续公告为准。美国市场方面，公司自膨支架此前已获得突破性认证，目前正在完善该产品的Pre-IDE准备，后续准备工作完成后将正式启动IDE相关工作，通过临床前和临床两部分与FDA沟通，期待该产品未来成为美国首</w:t>
            </w:r>
            <w:proofErr w:type="gramStart"/>
            <w:r w:rsidR="00715962">
              <w:rPr>
                <w:rFonts w:ascii="宋体" w:hAnsi="宋体" w:cs="宋体" w:hint="eastAsia"/>
                <w:sz w:val="24"/>
              </w:rPr>
              <w:t>款治疗</w:t>
            </w:r>
            <w:proofErr w:type="gramEnd"/>
            <w:r w:rsidR="00715962">
              <w:rPr>
                <w:rFonts w:ascii="宋体" w:hAnsi="宋体" w:cs="宋体" w:hint="eastAsia"/>
                <w:sz w:val="24"/>
              </w:rPr>
              <w:t>颅内狭窄的重要PMA产品；中国市场方面，公司继续保持与审评中心的沟通，临床下一步工作安排及重新进入注册、注册受理等情况以后续公告为准。</w:t>
            </w:r>
          </w:p>
          <w:p w14:paraId="1F7B42CA" w14:textId="5EA29947" w:rsidR="002E5700" w:rsidRDefault="00715962">
            <w:pPr>
              <w:spacing w:line="360" w:lineRule="auto"/>
              <w:ind w:firstLineChars="200" w:firstLine="480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/>
                <w:sz w:val="24"/>
              </w:rPr>
              <w:t>20</w:t>
            </w:r>
            <w:r>
              <w:rPr>
                <w:rFonts w:ascii="宋体" w:hAnsi="宋体" w:cs="宋体" w:hint="eastAsia"/>
                <w:sz w:val="24"/>
              </w:rPr>
              <w:t>26年上半年公司已取得取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栓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支架的欧盟认证，目前欧盟已获证产品为取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栓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支架和</w:t>
            </w:r>
            <w:r>
              <w:rPr>
                <w:bCs/>
                <w:kern w:val="0"/>
                <w:sz w:val="24"/>
              </w:rPr>
              <w:t>COMETIU</w:t>
            </w:r>
            <w:r>
              <w:rPr>
                <w:rFonts w:ascii="宋体" w:hAnsi="宋体" w:cs="宋体" w:hint="eastAsia"/>
                <w:sz w:val="24"/>
              </w:rPr>
              <w:t>两款；后续，球囊微导管、密网支架、涂层辅助支架等将陆续获得MDR批准。公司围绕三大疾病形成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成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体系解决方</w:t>
            </w:r>
            <w:r>
              <w:rPr>
                <w:rFonts w:ascii="宋体" w:hAnsi="宋体" w:cs="宋体" w:hint="eastAsia"/>
                <w:sz w:val="24"/>
              </w:rPr>
              <w:lastRenderedPageBreak/>
              <w:t>案，针对急性取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栓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布局取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栓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支架和抽吸导管，针对颅内狭窄布局自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膨药物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支架和COMEX</w:t>
            </w:r>
            <w:r w:rsidR="007602B6">
              <w:rPr>
                <w:rFonts w:ascii="宋体" w:hAnsi="宋体" w:cs="宋体" w:hint="eastAsia"/>
                <w:sz w:val="24"/>
              </w:rPr>
              <w:t>球囊微导管，针对密网支架相关疗法布局密网支架及</w:t>
            </w:r>
            <w:bookmarkStart w:id="0" w:name="_GoBack"/>
            <w:bookmarkEnd w:id="0"/>
            <w:r>
              <w:rPr>
                <w:rFonts w:ascii="宋体" w:hAnsi="宋体" w:cs="宋体" w:hint="eastAsia"/>
                <w:sz w:val="24"/>
              </w:rPr>
              <w:t>微导管、通路长鞘、中间导管等通路产品，三类解决方案未来将完成MDR相关认证，先以支架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端核心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产品带头，后续补足通路产品。海外注册覆盖方面，截至目前公司神经介入产品已启动除欧盟外多个国家的注册计划，为神经介入产品长期可持续商业化做准备。公司神经介入出海坚持基于产品创新、全线解决方案的思路，适配当前海外市场节奏。</w:t>
            </w:r>
          </w:p>
          <w:p w14:paraId="56BE04D7" w14:textId="77777777" w:rsidR="002E5700" w:rsidRDefault="00715962">
            <w:pPr>
              <w:spacing w:line="360" w:lineRule="auto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/>
                <w:b/>
                <w:sz w:val="24"/>
              </w:rPr>
              <w:t>6</w:t>
            </w:r>
            <w:r>
              <w:rPr>
                <w:rFonts w:ascii="宋体" w:hAnsi="宋体" w:cs="宋体" w:hint="eastAsia"/>
                <w:b/>
                <w:sz w:val="24"/>
              </w:rPr>
              <w:t>、26年冠脉三季度的情况如何？冠脉支架、普通球囊、脊柱球囊（特种球囊、棘突球囊）分别的放量情况如何？</w:t>
            </w:r>
          </w:p>
          <w:p w14:paraId="52CC948E" w14:textId="71DA01DD" w:rsidR="002E5700" w:rsidRDefault="00715962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答：就整个介入业务而言，三季度是传统淡季，受7、8月份暑假及夏季因素影响，通常一季度、四季度为旺季，三季度相对最弱，季度节奏上Q3是相对稳定的阶段。三季度冠脉业务有两项重要事项：一是完成冠脉支架集采续期及棘突球囊集采续期，在国家新一轮冠脉支架集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采续标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中，公司从原来两款产品变为三款产品；同时冠脉支架新需求政策推动终端价格进一步上涨，公司是国内厂家中唯一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一个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覆盖700元、800元、930元不同价格档位支架的厂商。三季度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冠脉续标期间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，新增的七百余元新产品帮助公司新增一百多家医院，整体通过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冠脉续标合计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新增300家医院，为未来一年冠脉支架综合业务提升奠定重要基础。2026年前三季度与去年同期相比，公司普通球囊、冠脉药物支架、特种球囊/棘突球囊三个品类均衡发展，出货量和业务营收均保持稳定增长。冠脉支架和冠脉球囊是公司基本盘，其中球囊属于高附加值、高毛利产品，相比去年同期销量和收入实现稳定增长；规模效应也推动公司产品盈利结构优化、成本得到较好控制，冠脉业务整体维持稳定。</w:t>
            </w:r>
          </w:p>
          <w:p w14:paraId="0D6BED5F" w14:textId="77777777" w:rsidR="002E5700" w:rsidRDefault="00715962">
            <w:pPr>
              <w:spacing w:line="360" w:lineRule="auto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/>
                <w:b/>
                <w:sz w:val="24"/>
              </w:rPr>
              <w:t>7</w:t>
            </w:r>
            <w:r>
              <w:rPr>
                <w:rFonts w:ascii="宋体" w:hAnsi="宋体" w:cs="宋体" w:hint="eastAsia"/>
                <w:b/>
                <w:sz w:val="24"/>
              </w:rPr>
              <w:t>、公司密网支架今年以来的增长趋势如何？新获批的颅内涂层支架预计放量节奏及明年贡献情况怎样？</w:t>
            </w:r>
          </w:p>
          <w:p w14:paraId="007E0A91" w14:textId="6EC6F920" w:rsidR="002E5700" w:rsidRDefault="00715962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答：2026年前三季度密网支架单一产品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贡献较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去年同期大幅增长；该产品</w:t>
            </w:r>
            <w:r w:rsidR="004B472E">
              <w:rPr>
                <w:rFonts w:ascii="宋体" w:hAnsi="宋体" w:cs="宋体" w:hint="eastAsia"/>
                <w:sz w:val="24"/>
              </w:rPr>
              <w:t>于</w:t>
            </w:r>
            <w:r>
              <w:rPr>
                <w:rFonts w:ascii="宋体" w:hAnsi="宋体" w:cs="宋体" w:hint="eastAsia"/>
                <w:sz w:val="24"/>
              </w:rPr>
              <w:t>2025年5月获批，2025年9月左右才在国内陆续商业化。2026年前三季度，密网支架参与了北京DRG联动、广东省省采，浙江省相关采购推进中，河南省尚未达到预期条件；除上述三个省份外，产品以河北</w:t>
            </w:r>
            <w:r>
              <w:rPr>
                <w:rFonts w:ascii="宋体" w:hAnsi="宋体" w:cs="宋体" w:hint="eastAsia"/>
                <w:sz w:val="24"/>
              </w:rPr>
              <w:lastRenderedPageBreak/>
              <w:t>“3</w:t>
            </w:r>
            <w:r>
              <w:rPr>
                <w:rFonts w:ascii="宋体" w:hAnsi="宋体" w:cs="宋体"/>
                <w:sz w:val="24"/>
              </w:rPr>
              <w:t>+</w:t>
            </w:r>
            <w:r>
              <w:rPr>
                <w:rFonts w:ascii="宋体" w:hAnsi="宋体" w:cs="宋体" w:hint="eastAsia"/>
                <w:sz w:val="24"/>
              </w:rPr>
              <w:t>N”联盟非中选、不限制使用的身份覆盖其他区域，医院准入和使用端受到一定限制，产品未赶上2025年年初河北“3</w:t>
            </w:r>
            <w:r>
              <w:rPr>
                <w:rFonts w:ascii="宋体" w:hAnsi="宋体" w:cs="宋体"/>
                <w:sz w:val="24"/>
              </w:rPr>
              <w:t>+</w:t>
            </w:r>
            <w:r>
              <w:rPr>
                <w:rFonts w:ascii="宋体" w:hAnsi="宋体" w:cs="宋体" w:hint="eastAsia"/>
                <w:sz w:val="24"/>
              </w:rPr>
              <w:t>N”联盟采购，大医院准入、销量及植入量主要来自前述三个省份。本次由江苏牵头的国采，让产品在三个省份以外获得更多准入机会，可依托产品特色和临床未满足需求转化更多医院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勾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选准入，本次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勾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选后医院容量实现数倍增长，后续等待医院国采议价方案落地执行，产品将从少数省份常规使用转向全国范围内几乎可常规使用。涂层辅助支架是2026年10月刚取得注册证书的新产品，为目前国内唯一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一个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开闭环兼容</w:t>
            </w:r>
            <w:r w:rsidR="00E33227">
              <w:rPr>
                <w:rFonts w:ascii="宋体" w:hAnsi="宋体" w:cs="宋体" w:hint="eastAsia"/>
                <w:sz w:val="24"/>
              </w:rPr>
              <w:t>抗</w:t>
            </w:r>
            <w:proofErr w:type="gramStart"/>
            <w:r w:rsidR="00E33227">
              <w:rPr>
                <w:rFonts w:ascii="宋体" w:hAnsi="宋体" w:cs="宋体" w:hint="eastAsia"/>
                <w:sz w:val="24"/>
              </w:rPr>
              <w:t>栓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涂层的颅内辅助支架，已优先进入国采。未破裂动脉瘤治疗越来越多向密网支架转换，破裂动脉瘤治疗中，辅助支架联合弹簧圈栓塞仍是成熟且不可撼动的解决方案，</w:t>
            </w:r>
            <w:r w:rsidR="00E33227">
              <w:rPr>
                <w:rFonts w:ascii="宋体" w:hAnsi="宋体" w:cs="宋体" w:hint="eastAsia"/>
                <w:sz w:val="24"/>
              </w:rPr>
              <w:t>抗</w:t>
            </w:r>
            <w:proofErr w:type="gramStart"/>
            <w:r w:rsidR="00E33227">
              <w:rPr>
                <w:rFonts w:ascii="宋体" w:hAnsi="宋体" w:cs="宋体" w:hint="eastAsia"/>
                <w:sz w:val="24"/>
              </w:rPr>
              <w:t>栓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涂层可解决临床未满足的痛点，有望借助本次国采进入更多医院。两款产品在本次国采落地后，2027年均有望实现不错的上量和医院准入贡献。</w:t>
            </w:r>
          </w:p>
          <w:p w14:paraId="7E6800DD" w14:textId="77777777" w:rsidR="002E5700" w:rsidRDefault="00715962">
            <w:pPr>
              <w:spacing w:line="360" w:lineRule="auto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/>
                <w:b/>
                <w:sz w:val="24"/>
              </w:rPr>
              <w:t>8</w:t>
            </w:r>
            <w:r>
              <w:rPr>
                <w:rFonts w:ascii="宋体" w:hAnsi="宋体" w:cs="宋体" w:hint="eastAsia"/>
                <w:b/>
                <w:sz w:val="24"/>
              </w:rPr>
              <w:t>、2026年以来国内冠脉、神经介入行业的诊疗增速处于什么水平？DRG 3.0试点是否对行业产生压制影响？</w:t>
            </w:r>
          </w:p>
          <w:p w14:paraId="76F61438" w14:textId="32499111" w:rsidR="002E5700" w:rsidRDefault="00715962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答：冠脉26年保持稳定增长，行业几乎全面完成集采，价格及相关采购规则已全面落地，整体医疗费用不构成制约；中国老龄化进程刚启动，冠脉市场远未达到天花板，每年总容量稳定增长，从国产球囊、支架的报量以及公司业务端观测到的医院规模扩大、整体容量上升均可验证。神经介入行业不同细分领域有差异，取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栓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领域增速较2021年至2025年的高速阶段有所放缓，但仍保持稳定；整体神经介入手术容量增速高于冠脉，每年保持一定程度的增长，该增速在未来几年预计仍将维持，海外神经介入市场也处于相近的增长环境和速度，神经介入手术容量增长在介入类赛道中处于更高水平。</w:t>
            </w:r>
          </w:p>
          <w:p w14:paraId="5972B056" w14:textId="32A4FD1E" w:rsidR="002E5700" w:rsidRDefault="00715962">
            <w:pPr>
              <w:spacing w:line="360" w:lineRule="auto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/>
                <w:b/>
                <w:sz w:val="24"/>
              </w:rPr>
              <w:t>9</w:t>
            </w:r>
            <w:r>
              <w:rPr>
                <w:rFonts w:ascii="宋体" w:hAnsi="宋体" w:cs="宋体" w:hint="eastAsia"/>
                <w:b/>
                <w:sz w:val="24"/>
              </w:rPr>
              <w:t>、</w:t>
            </w:r>
            <w:proofErr w:type="gramStart"/>
            <w:r>
              <w:rPr>
                <w:rFonts w:ascii="宋体" w:hAnsi="宋体" w:cs="宋体" w:hint="eastAsia"/>
                <w:b/>
                <w:sz w:val="24"/>
              </w:rPr>
              <w:t>自膨在欧洲</w:t>
            </w:r>
            <w:proofErr w:type="gramEnd"/>
            <w:r>
              <w:rPr>
                <w:rFonts w:ascii="宋体" w:hAnsi="宋体" w:cs="宋体" w:hint="eastAsia"/>
                <w:b/>
                <w:sz w:val="24"/>
              </w:rPr>
              <w:t>的价格？冠脉支架FDA的进展？</w:t>
            </w:r>
          </w:p>
          <w:p w14:paraId="1FE3C729" w14:textId="6753D569" w:rsidR="002E5700" w:rsidRDefault="00715962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答：欧洲医院终端价格整体在集采前低于国内、也低于美国，约为美国的60%到70%；中国第八批全面国采落地后，中国价格应为最低，欧洲处于中高水准。自膨支架在欧洲不同国家因成本、销售模式不同终端价格可能存在差异；创新产品在一定阶段价格高于现有成熟品类，同时需要</w:t>
            </w:r>
            <w:r>
              <w:rPr>
                <w:rFonts w:ascii="宋体" w:hAnsi="宋体" w:cs="宋体" w:hint="eastAsia"/>
                <w:sz w:val="24"/>
              </w:rPr>
              <w:lastRenderedPageBreak/>
              <w:t>完成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医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保准入、上市后临床研究等系统性工作以证明获益。FDA方面，公司在2026年三季度完成一轮现场检查，药物和器械两个部分的现场检查均已完成，并持续提交现场检查后的下一步回复；目前前置动作已完成、技术审评已通过，公司正与FDA沟通推进后续时间和动作，预计在完成PMA全部审评工作后取得最终PMA</w:t>
            </w:r>
            <w:r w:rsidR="00DA25B1">
              <w:rPr>
                <w:rFonts w:ascii="宋体" w:hAnsi="宋体" w:cs="宋体" w:hint="eastAsia"/>
                <w:sz w:val="24"/>
              </w:rPr>
              <w:t>批准</w:t>
            </w:r>
            <w:r>
              <w:rPr>
                <w:rFonts w:ascii="宋体" w:hAnsi="宋体" w:cs="宋体" w:hint="eastAsia"/>
                <w:sz w:val="24"/>
              </w:rPr>
              <w:t>。</w:t>
            </w:r>
          </w:p>
          <w:p w14:paraId="005C234D" w14:textId="77777777" w:rsidR="002E5700" w:rsidRDefault="00715962">
            <w:pPr>
              <w:spacing w:line="360" w:lineRule="auto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/>
                <w:b/>
                <w:sz w:val="24"/>
              </w:rPr>
              <w:t>10</w:t>
            </w:r>
            <w:r>
              <w:rPr>
                <w:rFonts w:ascii="宋体" w:hAnsi="宋体" w:cs="宋体" w:hint="eastAsia"/>
                <w:b/>
                <w:sz w:val="24"/>
              </w:rPr>
              <w:t>、NOVA药物支架目前植入比例情况如何？作为唯一的颅内药物支架，后续是否会纳入集采？纳入或不纳入对公司业绩影响怎么看？</w:t>
            </w:r>
          </w:p>
          <w:p w14:paraId="69C2E550" w14:textId="51700D39" w:rsidR="002E5700" w:rsidRDefault="00715962">
            <w:pPr>
              <w:spacing w:line="360" w:lineRule="auto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答：NOVA是目前第一款也是目前唯一一款颅内药物支架，2026年前三季度相比2025年仍保持稳定增长，推广符合预期；公司持续进行产品更新升级，新产品临床反馈也非常好，NOVA不断拓宽应用场景。产品上市后有1000例大规模临床跟踪要求目前正式完成全部临床入组，2027年将陆续有大样本量数据呈现、汇报及发表；公司通过该产品推进术式、收集循证证据，推进产品安全性和疗效验证。NOVA支架目前在国采第八批</w:t>
            </w:r>
            <w:r w:rsidRPr="00B128B2">
              <w:rPr>
                <w:rFonts w:ascii="宋体" w:hAnsi="宋体" w:cs="宋体" w:hint="eastAsia"/>
                <w:sz w:val="24"/>
              </w:rPr>
              <w:t>范围之内，整个狭窄支架都在维护的产品清单范围内，公司乐意并支持国采将NOVA</w:t>
            </w:r>
            <w:r w:rsidRPr="005D5224">
              <w:rPr>
                <w:rFonts w:ascii="宋体" w:hAnsi="宋体" w:cs="宋体" w:hint="eastAsia"/>
                <w:sz w:val="24"/>
              </w:rPr>
              <w:t>支架纳入。</w:t>
            </w:r>
            <w:r w:rsidRPr="00D30A19">
              <w:rPr>
                <w:rFonts w:ascii="宋体" w:hAnsi="宋体" w:cs="宋体" w:hint="eastAsia"/>
                <w:sz w:val="24"/>
              </w:rPr>
              <w:t>此前</w:t>
            </w:r>
            <w:r w:rsidRPr="00B128B2">
              <w:rPr>
                <w:rFonts w:ascii="宋体" w:hAnsi="宋体" w:cs="宋体"/>
                <w:sz w:val="24"/>
              </w:rPr>
              <w:t>2023</w:t>
            </w:r>
            <w:r w:rsidRPr="00B128B2">
              <w:rPr>
                <w:rFonts w:ascii="宋体" w:hAnsi="宋体" w:cs="宋体" w:hint="eastAsia"/>
                <w:sz w:val="24"/>
              </w:rPr>
              <w:t>年河北牵头“</w:t>
            </w:r>
            <w:r w:rsidRPr="00B128B2">
              <w:rPr>
                <w:rFonts w:ascii="宋体" w:hAnsi="宋体" w:cs="宋体"/>
                <w:sz w:val="24"/>
              </w:rPr>
              <w:t>3+N</w:t>
            </w:r>
            <w:r w:rsidRPr="00B128B2">
              <w:rPr>
                <w:rFonts w:ascii="宋体" w:hAnsi="宋体" w:cs="宋体" w:hint="eastAsia"/>
                <w:sz w:val="24"/>
              </w:rPr>
              <w:t>”的十个省份联盟集采中，</w:t>
            </w:r>
            <w:r w:rsidRPr="00B128B2">
              <w:rPr>
                <w:rFonts w:ascii="宋体" w:hAnsi="宋体" w:cs="宋体"/>
                <w:sz w:val="24"/>
              </w:rPr>
              <w:t>NOVA</w:t>
            </w:r>
            <w:r w:rsidRPr="00B128B2">
              <w:rPr>
                <w:rFonts w:ascii="宋体" w:hAnsi="宋体" w:cs="宋体" w:hint="eastAsia"/>
                <w:sz w:val="24"/>
              </w:rPr>
              <w:t>支架和</w:t>
            </w:r>
            <w:proofErr w:type="gramStart"/>
            <w:r w:rsidRPr="00B128B2">
              <w:rPr>
                <w:rFonts w:ascii="宋体" w:hAnsi="宋体" w:cs="宋体" w:hint="eastAsia"/>
                <w:sz w:val="24"/>
              </w:rPr>
              <w:t>裸支架</w:t>
            </w:r>
            <w:proofErr w:type="gramEnd"/>
            <w:r w:rsidRPr="00B128B2">
              <w:rPr>
                <w:rFonts w:ascii="宋体" w:hAnsi="宋体" w:cs="宋体" w:hint="eastAsia"/>
                <w:sz w:val="24"/>
              </w:rPr>
              <w:t>分在一组，通过定价淘汰方式，</w:t>
            </w:r>
            <w:r w:rsidRPr="00B128B2">
              <w:rPr>
                <w:rFonts w:ascii="宋体" w:hAnsi="宋体" w:cs="宋体"/>
                <w:sz w:val="24"/>
              </w:rPr>
              <w:t>NOVA</w:t>
            </w:r>
            <w:r w:rsidRPr="00B128B2">
              <w:rPr>
                <w:rFonts w:ascii="宋体" w:hAnsi="宋体" w:cs="宋体" w:hint="eastAsia"/>
                <w:sz w:val="24"/>
              </w:rPr>
              <w:t>支架落标，在覆盖的十个省份存在很多准入限制，例如河北在</w:t>
            </w:r>
            <w:r w:rsidRPr="00B128B2">
              <w:rPr>
                <w:rFonts w:ascii="宋体" w:hAnsi="宋体" w:cs="宋体"/>
                <w:sz w:val="24"/>
              </w:rPr>
              <w:t>2023</w:t>
            </w:r>
            <w:r w:rsidRPr="00B128B2">
              <w:rPr>
                <w:rFonts w:ascii="宋体" w:hAnsi="宋体" w:cs="宋体" w:hint="eastAsia"/>
                <w:sz w:val="24"/>
              </w:rPr>
              <w:t>年之后至今零销量；尽管该产品是市面唯一药物支架、无其他含药产品替代，</w:t>
            </w:r>
            <w:proofErr w:type="gramStart"/>
            <w:r w:rsidRPr="00B128B2">
              <w:rPr>
                <w:rFonts w:ascii="宋体" w:hAnsi="宋体" w:cs="宋体" w:hint="eastAsia"/>
                <w:sz w:val="24"/>
              </w:rPr>
              <w:t>但受集采</w:t>
            </w:r>
            <w:proofErr w:type="gramEnd"/>
            <w:r w:rsidRPr="00B128B2">
              <w:rPr>
                <w:rFonts w:ascii="宋体" w:hAnsi="宋体" w:cs="宋体" w:hint="eastAsia"/>
                <w:sz w:val="24"/>
              </w:rPr>
              <w:t>规则限制，公司</w:t>
            </w:r>
            <w:proofErr w:type="gramStart"/>
            <w:r w:rsidRPr="00B128B2">
              <w:rPr>
                <w:rFonts w:ascii="宋体" w:hAnsi="宋体" w:cs="宋体" w:hint="eastAsia"/>
                <w:sz w:val="24"/>
              </w:rPr>
              <w:t>期待国</w:t>
            </w:r>
            <w:proofErr w:type="gramEnd"/>
            <w:r w:rsidRPr="00B128B2">
              <w:rPr>
                <w:rFonts w:ascii="宋体" w:hAnsi="宋体" w:cs="宋体" w:hint="eastAsia"/>
                <w:sz w:val="24"/>
              </w:rPr>
              <w:t>采纳入后，全国所有省份不再有准入限制。</w:t>
            </w:r>
            <w:r w:rsidRPr="00B128B2">
              <w:rPr>
                <w:rFonts w:ascii="宋体" w:hAnsi="宋体" w:cs="宋体"/>
                <w:sz w:val="24"/>
              </w:rPr>
              <w:t>2024年公司积极推动，国家</w:t>
            </w:r>
            <w:proofErr w:type="gramStart"/>
            <w:r w:rsidRPr="00B128B2">
              <w:rPr>
                <w:rFonts w:ascii="宋体" w:hAnsi="宋体" w:cs="宋体"/>
                <w:sz w:val="24"/>
              </w:rPr>
              <w:t>医</w:t>
            </w:r>
            <w:proofErr w:type="gramEnd"/>
            <w:r w:rsidRPr="00B128B2">
              <w:rPr>
                <w:rFonts w:ascii="宋体" w:hAnsi="宋体" w:cs="宋体"/>
                <w:sz w:val="24"/>
              </w:rPr>
              <w:t>保局认可创新器械的差异，针对颅内</w:t>
            </w:r>
            <w:proofErr w:type="gramStart"/>
            <w:r w:rsidRPr="00B128B2">
              <w:rPr>
                <w:rFonts w:ascii="宋体" w:hAnsi="宋体" w:cs="宋体"/>
                <w:sz w:val="24"/>
              </w:rPr>
              <w:t>狭窄将金属裸</w:t>
            </w:r>
            <w:proofErr w:type="gramEnd"/>
            <w:r w:rsidRPr="00B128B2">
              <w:rPr>
                <w:rFonts w:ascii="宋体" w:hAnsi="宋体" w:cs="宋体"/>
                <w:sz w:val="24"/>
              </w:rPr>
              <w:t>支架和药物支架单独分类，公司目前是三代支架药物涂层支架里唯一</w:t>
            </w:r>
            <w:proofErr w:type="gramStart"/>
            <w:r w:rsidRPr="00B128B2">
              <w:rPr>
                <w:rFonts w:ascii="宋体" w:hAnsi="宋体" w:cs="宋体"/>
                <w:sz w:val="24"/>
              </w:rPr>
              <w:t>一个</w:t>
            </w:r>
            <w:proofErr w:type="gramEnd"/>
            <w:r w:rsidRPr="00B128B2">
              <w:rPr>
                <w:rFonts w:ascii="宋体" w:hAnsi="宋体" w:cs="宋体"/>
                <w:sz w:val="24"/>
              </w:rPr>
              <w:t>拥有单独</w:t>
            </w:r>
            <w:proofErr w:type="gramStart"/>
            <w:r w:rsidRPr="00B128B2">
              <w:rPr>
                <w:rFonts w:ascii="宋体" w:hAnsi="宋体" w:cs="宋体"/>
                <w:sz w:val="24"/>
              </w:rPr>
              <w:t>医</w:t>
            </w:r>
            <w:proofErr w:type="gramEnd"/>
            <w:r w:rsidRPr="00B128B2">
              <w:rPr>
                <w:rFonts w:ascii="宋体" w:hAnsi="宋体" w:cs="宋体"/>
                <w:sz w:val="24"/>
              </w:rPr>
              <w:t>保代码、</w:t>
            </w:r>
            <w:proofErr w:type="gramStart"/>
            <w:r w:rsidRPr="00B128B2">
              <w:rPr>
                <w:rFonts w:ascii="宋体" w:hAnsi="宋体" w:cs="宋体"/>
                <w:sz w:val="24"/>
              </w:rPr>
              <w:t>医</w:t>
            </w:r>
            <w:proofErr w:type="gramEnd"/>
            <w:r w:rsidRPr="00B128B2">
              <w:rPr>
                <w:rFonts w:ascii="宋体" w:hAnsi="宋体" w:cs="宋体"/>
                <w:sz w:val="24"/>
              </w:rPr>
              <w:t>保分类的产品；</w:t>
            </w:r>
            <w:proofErr w:type="gramStart"/>
            <w:r w:rsidRPr="00B128B2">
              <w:rPr>
                <w:rFonts w:ascii="宋体" w:hAnsi="宋体" w:cs="宋体"/>
                <w:sz w:val="24"/>
              </w:rPr>
              <w:t>医</w:t>
            </w:r>
            <w:proofErr w:type="gramEnd"/>
            <w:r w:rsidRPr="00B128B2">
              <w:rPr>
                <w:rFonts w:ascii="宋体" w:hAnsi="宋体" w:cs="宋体"/>
                <w:sz w:val="24"/>
              </w:rPr>
              <w:t>保编码建制和分层后，公司相信本次国采方案会更积极，这也是河北牵头“3+N”联盟2026年续期后未再继续该品类续量、勾选、报价的原因之一。</w:t>
            </w:r>
            <w:r w:rsidRPr="00B128B2">
              <w:rPr>
                <w:rFonts w:ascii="宋体" w:hAnsi="宋体" w:cs="宋体" w:hint="eastAsia"/>
                <w:sz w:val="24"/>
              </w:rPr>
              <w:t>公司正与相关机构保持良好沟通，让政策制定者了解产品的创新特色和区别，积极拥抱集采，希望品类纳入，消除全国省份准入限制。在产品目前全球唯一的情况下，公司相信纳入集采后对医院准入是很大进步；</w:t>
            </w:r>
            <w:r w:rsidRPr="00B128B2">
              <w:rPr>
                <w:rFonts w:ascii="宋体" w:hAnsi="宋体" w:cs="宋体"/>
                <w:sz w:val="24"/>
              </w:rPr>
              <w:t>NOVA</w:t>
            </w:r>
            <w:r w:rsidRPr="00B128B2">
              <w:rPr>
                <w:rFonts w:ascii="宋体" w:hAnsi="宋体" w:cs="宋体" w:hint="eastAsia"/>
                <w:sz w:val="24"/>
              </w:rPr>
              <w:t>支</w:t>
            </w:r>
            <w:r>
              <w:rPr>
                <w:rFonts w:ascii="宋体" w:hAnsi="宋体" w:cs="宋体" w:hint="eastAsia"/>
                <w:sz w:val="24"/>
              </w:rPr>
              <w:t>架目前已覆盖全国约1500家医院，仍有一千多家医院未覆盖，希望通过集采推进实现产品在全国绝大部分医院准入，避免过往政策限制，带动销量进一</w:t>
            </w:r>
            <w:r>
              <w:rPr>
                <w:rFonts w:ascii="宋体" w:hAnsi="宋体" w:cs="宋体" w:hint="eastAsia"/>
                <w:sz w:val="24"/>
              </w:rPr>
              <w:lastRenderedPageBreak/>
              <w:t>步提升，为临床提供更好更新的救治方案，具备双重积极意义。2023年至今，产品陆续进入北京DRG联动等，其他省份单省级器材终端价格从原来的约38</w:t>
            </w:r>
            <w:r>
              <w:rPr>
                <w:rFonts w:ascii="宋体" w:hAnsi="宋体" w:cs="宋体"/>
                <w:sz w:val="24"/>
              </w:rPr>
              <w:t>,</w:t>
            </w:r>
            <w:r>
              <w:rPr>
                <w:rFonts w:ascii="宋体" w:hAnsi="宋体" w:cs="宋体" w:hint="eastAsia"/>
                <w:sz w:val="24"/>
              </w:rPr>
              <w:t>000元、40</w:t>
            </w:r>
            <w:r>
              <w:rPr>
                <w:rFonts w:ascii="宋体" w:hAnsi="宋体" w:cs="宋体"/>
                <w:sz w:val="24"/>
              </w:rPr>
              <w:t>,</w:t>
            </w:r>
            <w:r>
              <w:rPr>
                <w:rFonts w:ascii="宋体" w:hAnsi="宋体" w:cs="宋体" w:hint="eastAsia"/>
                <w:sz w:val="24"/>
              </w:rPr>
              <w:t>000元逐步降至目前最低27</w:t>
            </w:r>
            <w:r>
              <w:rPr>
                <w:rFonts w:ascii="宋体" w:hAnsi="宋体" w:cs="宋体"/>
                <w:sz w:val="24"/>
              </w:rPr>
              <w:t>,</w:t>
            </w:r>
            <w:r>
              <w:rPr>
                <w:rFonts w:ascii="宋体" w:hAnsi="宋体" w:cs="宋体" w:hint="eastAsia"/>
                <w:sz w:val="24"/>
              </w:rPr>
              <w:t>300元，产品价格不断配合集采节奏实现一定降幅，降低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医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保负担，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医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保也能看到公司积极态度，公司认为围绕该方向应有不错的最终结果。公司对此</w:t>
            </w:r>
            <w:r w:rsidR="00262C03">
              <w:rPr>
                <w:rFonts w:ascii="宋体" w:hAnsi="宋体" w:cs="宋体" w:hint="eastAsia"/>
                <w:sz w:val="24"/>
              </w:rPr>
              <w:t>保持乐观信心，期待通过集采</w:t>
            </w:r>
            <w:r>
              <w:rPr>
                <w:rFonts w:ascii="宋体" w:hAnsi="宋体" w:cs="宋体" w:hint="eastAsia"/>
                <w:sz w:val="24"/>
              </w:rPr>
              <w:t>覆盖更多医院，带动全线解决方案在全国绝大部分中心服务患者和医生。</w:t>
            </w:r>
          </w:p>
          <w:p w14:paraId="74E40B92" w14:textId="77777777" w:rsidR="002E5700" w:rsidRDefault="00715962">
            <w:pPr>
              <w:spacing w:line="360" w:lineRule="auto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1</w:t>
            </w:r>
            <w:r>
              <w:rPr>
                <w:rFonts w:ascii="宋体" w:hAnsi="宋体" w:cs="宋体"/>
                <w:b/>
                <w:sz w:val="24"/>
              </w:rPr>
              <w:t>1、</w:t>
            </w:r>
            <w:r>
              <w:rPr>
                <w:rFonts w:ascii="宋体" w:hAnsi="宋体" w:cs="宋体" w:hint="eastAsia"/>
                <w:b/>
                <w:sz w:val="24"/>
              </w:rPr>
              <w:t>研发费用的投入方向和规划？</w:t>
            </w:r>
          </w:p>
          <w:p w14:paraId="6B9CE2A3" w14:textId="76F4A815" w:rsidR="002E5700" w:rsidRDefault="00715962">
            <w:pPr>
              <w:spacing w:line="360" w:lineRule="auto"/>
              <w:rPr>
                <w:rFonts w:ascii="宋体" w:hAnsi="宋体" w:cs="宋体"/>
                <w:sz w:val="24"/>
              </w:rPr>
            </w:pPr>
            <w:r w:rsidRPr="008C2F34">
              <w:rPr>
                <w:rFonts w:ascii="宋体" w:hAnsi="宋体" w:cs="宋体" w:hint="eastAsia"/>
                <w:sz w:val="24"/>
              </w:rPr>
              <w:t>答：</w:t>
            </w:r>
            <w:bookmarkStart w:id="1" w:name="OLE_LINK1"/>
            <w:bookmarkStart w:id="2" w:name="OLE_LINK2"/>
            <w:r w:rsidR="008C2F34" w:rsidRPr="008C2F34">
              <w:rPr>
                <w:rFonts w:ascii="宋体" w:hAnsi="宋体" w:cs="宋体" w:hint="eastAsia"/>
                <w:sz w:val="24"/>
              </w:rPr>
              <w:t>2026年前三季度，由于营业收入进一步增长，公司整体研发费率下降至19.91%，研发投入进入更合理节奏</w:t>
            </w:r>
            <w:r w:rsidRPr="008C2F34">
              <w:rPr>
                <w:rFonts w:ascii="宋体" w:hAnsi="宋体" w:cs="宋体"/>
                <w:sz w:val="24"/>
              </w:rPr>
              <w:t>。</w:t>
            </w:r>
            <w:bookmarkEnd w:id="1"/>
            <w:bookmarkEnd w:id="2"/>
            <w:r w:rsidRPr="008C2F34">
              <w:rPr>
                <w:rFonts w:ascii="宋体" w:hAnsi="宋体" w:cs="宋体" w:hint="eastAsia"/>
                <w:sz w:val="24"/>
              </w:rPr>
              <w:t>公</w:t>
            </w:r>
            <w:r>
              <w:rPr>
                <w:rFonts w:ascii="宋体" w:hAnsi="宋体" w:cs="宋体" w:hint="eastAsia"/>
                <w:sz w:val="24"/>
              </w:rPr>
              <w:t>司业务体量已从低谷恢复，并处于正常盈利、具备持续现金流的状态，因此会控制研发节奏。过去几年最重要的研发支出分别为美国FDA临床费用，以及神经介入十几款产品在国内的研发、拿证和临床试验费用，该阶段已经过去。下一阶段公司会持续增加研发投入，但整体研发费率将控制在更合理水平；公司将平衡业务营收与研发节奏，研发重心转向更高端、具备品类</w:t>
            </w:r>
            <w:r w:rsidR="00302390">
              <w:rPr>
                <w:rFonts w:ascii="宋体" w:hAnsi="宋体" w:cs="宋体" w:hint="eastAsia"/>
                <w:sz w:val="24"/>
              </w:rPr>
              <w:t>first</w:t>
            </w:r>
            <w:r w:rsidR="00302390">
              <w:rPr>
                <w:rFonts w:ascii="宋体" w:hAnsi="宋体" w:cs="宋体"/>
                <w:sz w:val="24"/>
              </w:rPr>
              <w:t>-</w:t>
            </w:r>
            <w:r w:rsidR="009F5504">
              <w:rPr>
                <w:rFonts w:ascii="宋体" w:hAnsi="宋体" w:cs="宋体" w:hint="eastAsia"/>
                <w:sz w:val="24"/>
              </w:rPr>
              <w:t>in</w:t>
            </w:r>
            <w:r w:rsidR="00302390">
              <w:rPr>
                <w:rFonts w:ascii="宋体" w:hAnsi="宋体" w:cs="宋体"/>
                <w:sz w:val="24"/>
              </w:rPr>
              <w:t>-</w:t>
            </w:r>
            <w:r>
              <w:rPr>
                <w:rFonts w:ascii="宋体" w:hAnsi="宋体" w:cs="宋体" w:hint="eastAsia"/>
                <w:sz w:val="24"/>
              </w:rPr>
              <w:t>class特色产品的国际化临床和国际化认证。过去几年对研发管线的平衡和配置，使公司能够在资金有限的情况下推进项目并创造商业营收，也为未来更具全球化竞争能力的管线开展海外临床储备资金。</w:t>
            </w:r>
          </w:p>
          <w:p w14:paraId="7CAF7821" w14:textId="77777777" w:rsidR="002E5700" w:rsidRDefault="00715962">
            <w:pPr>
              <w:spacing w:line="360" w:lineRule="auto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1</w:t>
            </w:r>
            <w:r>
              <w:rPr>
                <w:rFonts w:ascii="宋体" w:hAnsi="宋体" w:cs="宋体"/>
                <w:b/>
                <w:sz w:val="24"/>
              </w:rPr>
              <w:t>2</w:t>
            </w:r>
            <w:r>
              <w:rPr>
                <w:rFonts w:ascii="宋体" w:hAnsi="宋体" w:cs="宋体" w:hint="eastAsia"/>
                <w:b/>
                <w:sz w:val="24"/>
              </w:rPr>
              <w:t>、公司对销售管理等其他费用有何预期？今明两年的业绩指引能否更新？</w:t>
            </w:r>
          </w:p>
          <w:p w14:paraId="3690D7E0" w14:textId="03231771" w:rsidR="002E5700" w:rsidRDefault="00715962">
            <w:pPr>
              <w:spacing w:line="360" w:lineRule="auto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答：在冠脉及神经介入企业中，公司对销售费用的管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控相对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节约，26年整体销售费用率在15%以下，冠脉和神经介入业务均处于这一水平。主要原因是产品具备专业特色、部分为</w:t>
            </w:r>
            <w:r w:rsidR="00302390">
              <w:rPr>
                <w:rFonts w:ascii="宋体" w:hAnsi="宋体" w:cs="宋体" w:hint="eastAsia"/>
                <w:sz w:val="24"/>
              </w:rPr>
              <w:t>first</w:t>
            </w:r>
            <w:r w:rsidR="00302390">
              <w:rPr>
                <w:rFonts w:ascii="宋体" w:hAnsi="宋体" w:cs="宋体"/>
                <w:sz w:val="24"/>
              </w:rPr>
              <w:t>-</w:t>
            </w:r>
            <w:r w:rsidR="00302390">
              <w:rPr>
                <w:rFonts w:ascii="宋体" w:hAnsi="宋体" w:cs="宋体" w:hint="eastAsia"/>
                <w:sz w:val="24"/>
              </w:rPr>
              <w:t>in</w:t>
            </w:r>
            <w:r w:rsidR="00302390">
              <w:rPr>
                <w:rFonts w:ascii="宋体" w:hAnsi="宋体" w:cs="宋体"/>
                <w:sz w:val="24"/>
              </w:rPr>
              <w:t>-</w:t>
            </w:r>
            <w:r>
              <w:rPr>
                <w:rFonts w:ascii="宋体" w:hAnsi="宋体" w:cs="宋体" w:hint="eastAsia"/>
                <w:sz w:val="24"/>
              </w:rPr>
              <w:t>class产品，无需通过大量商务投入完成进院或转化；目前与临床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端开展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的上市后研究相关费用会持续计入未来年度，但整体销售费用率将维持在合理水平。神经介入业务未来销售费用率可能持续略微增长，但会处于合理规模，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不会较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现有费用率大幅提升；公司希望依靠产品创新满足需求，带动有机增长，而非依靠临床投入解决准入和上量，且神经介入国采之后，已无持续大幅投入销售费用的背景。公司将坚持原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研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创新、满足未满足临床需求的</w:t>
            </w:r>
            <w:r>
              <w:rPr>
                <w:rFonts w:ascii="宋体" w:hAnsi="宋体" w:cs="宋体" w:hint="eastAsia"/>
                <w:sz w:val="24"/>
              </w:rPr>
              <w:lastRenderedPageBreak/>
              <w:t>优势，在神经介入领域借助国采机会，为稍晚管线、此前受政策准入限制的创新产品制定合理价格，通过国采放开市场，实现终端有机可持续发展；基于上述安排，公司会合理控制三费比例，不会成为纯营销型公司，不会靠大力投入换取市场份额。</w:t>
            </w:r>
          </w:p>
          <w:p w14:paraId="1D5666B8" w14:textId="77777777" w:rsidR="002E5700" w:rsidRDefault="00715962">
            <w:pPr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三、公司对未来的展望</w:t>
            </w:r>
          </w:p>
          <w:p w14:paraId="0E9EDAD0" w14:textId="0B0DE9B1" w:rsidR="002E5700" w:rsidRDefault="00715962">
            <w:pPr>
              <w:spacing w:line="360" w:lineRule="auto"/>
              <w:ind w:firstLineChars="200" w:firstLine="480"/>
              <w:rPr>
                <w:rFonts w:ascii="宋体" w:hAnsi="宋体"/>
                <w:sz w:val="24"/>
              </w:rPr>
            </w:pPr>
            <w:r>
              <w:rPr>
                <w:rFonts w:ascii="宋体" w:hAnsi="宋体" w:cs="仿宋" w:hint="eastAsia"/>
                <w:sz w:val="24"/>
              </w:rPr>
              <w:t>三季报后市场可逐步确认公司经营表现：2026年营</w:t>
            </w:r>
            <w:proofErr w:type="gramStart"/>
            <w:r>
              <w:rPr>
                <w:rFonts w:ascii="宋体" w:hAnsi="宋体" w:cs="仿宋" w:hint="eastAsia"/>
                <w:sz w:val="24"/>
              </w:rPr>
              <w:t>收实现</w:t>
            </w:r>
            <w:proofErr w:type="gramEnd"/>
            <w:r>
              <w:rPr>
                <w:rFonts w:ascii="宋体" w:hAnsi="宋体" w:cs="仿宋" w:hint="eastAsia"/>
                <w:sz w:val="24"/>
              </w:rPr>
              <w:t>稳定增长，增长来自冠脉业务和神经业务，且营</w:t>
            </w:r>
            <w:proofErr w:type="gramStart"/>
            <w:r>
              <w:rPr>
                <w:rFonts w:ascii="宋体" w:hAnsi="宋体" w:cs="仿宋" w:hint="eastAsia"/>
                <w:sz w:val="24"/>
              </w:rPr>
              <w:t>收增长</w:t>
            </w:r>
            <w:proofErr w:type="gramEnd"/>
            <w:r>
              <w:rPr>
                <w:rFonts w:ascii="宋体" w:hAnsi="宋体" w:cs="仿宋" w:hint="eastAsia"/>
                <w:sz w:val="24"/>
              </w:rPr>
              <w:t>的同时利润</w:t>
            </w:r>
            <w:proofErr w:type="gramStart"/>
            <w:r>
              <w:rPr>
                <w:rFonts w:ascii="宋体" w:hAnsi="宋体" w:cs="仿宋" w:hint="eastAsia"/>
                <w:sz w:val="24"/>
              </w:rPr>
              <w:t>端实现</w:t>
            </w:r>
            <w:proofErr w:type="gramEnd"/>
            <w:r>
              <w:rPr>
                <w:rFonts w:ascii="宋体" w:hAnsi="宋体" w:cs="仿宋" w:hint="eastAsia"/>
                <w:sz w:val="24"/>
              </w:rPr>
              <w:t>更高质量发展。2026年是公司有史以来最好的年份，公司上市</w:t>
            </w:r>
            <w:proofErr w:type="gramStart"/>
            <w:r>
              <w:rPr>
                <w:rFonts w:ascii="宋体" w:hAnsi="宋体" w:cs="仿宋" w:hint="eastAsia"/>
                <w:sz w:val="24"/>
              </w:rPr>
              <w:t>时营收规模</w:t>
            </w:r>
            <w:proofErr w:type="gramEnd"/>
            <w:r>
              <w:rPr>
                <w:rFonts w:ascii="宋体" w:hAnsi="宋体" w:cs="仿宋" w:hint="eastAsia"/>
                <w:sz w:val="24"/>
              </w:rPr>
              <w:t>约4亿元，之后受冠脉集采等因素影响遭遇经营挑战，2024年之后陆续走出困境，2026年业务增长、利润高质量提升，产品盈利数额水平、增长速度、毛利结构、多元化产品配置以及国内和海外布局的初步雏形已经形成。2026年前三季度已结束，第四季度将全力完成全年业务目标；基于前三季度表现，全年业绩不会令市场意外，将维持良好发展趋势。国内市场方面，公司希望神经介入业务借助第八批国采，让创新管线</w:t>
            </w:r>
            <w:proofErr w:type="gramStart"/>
            <w:r>
              <w:rPr>
                <w:rFonts w:ascii="宋体" w:hAnsi="宋体" w:cs="仿宋" w:hint="eastAsia"/>
                <w:sz w:val="24"/>
              </w:rPr>
              <w:t>触达更多</w:t>
            </w:r>
            <w:proofErr w:type="gramEnd"/>
            <w:r>
              <w:rPr>
                <w:rFonts w:ascii="宋体" w:hAnsi="宋体" w:cs="仿宋" w:hint="eastAsia"/>
                <w:sz w:val="24"/>
              </w:rPr>
              <w:t>医院、临床医生和病人，将研发投入转化为创新产品，最终形成驱动公司有机发展的营收增长闭环。海外业务方面，2026年开始陆续取得成果，真正成果预计2027年起更多涌现；公司已凭借产品创新获得海外专家关注，并与行业伙伴开展紧密互动、推进合作沟通与落地，期待中国原</w:t>
            </w:r>
            <w:proofErr w:type="gramStart"/>
            <w:r>
              <w:rPr>
                <w:rFonts w:ascii="宋体" w:hAnsi="宋体" w:cs="仿宋" w:hint="eastAsia"/>
                <w:sz w:val="24"/>
              </w:rPr>
              <w:t>研</w:t>
            </w:r>
            <w:proofErr w:type="gramEnd"/>
            <w:r>
              <w:rPr>
                <w:rFonts w:ascii="宋体" w:hAnsi="宋体" w:cs="仿宋" w:hint="eastAsia"/>
                <w:sz w:val="24"/>
              </w:rPr>
              <w:t>创新产品在海外成为</w:t>
            </w:r>
            <w:r w:rsidR="00302390">
              <w:rPr>
                <w:rFonts w:ascii="宋体" w:hAnsi="宋体" w:cs="仿宋" w:hint="eastAsia"/>
                <w:sz w:val="24"/>
              </w:rPr>
              <w:t>first</w:t>
            </w:r>
            <w:r w:rsidR="00302390">
              <w:rPr>
                <w:rFonts w:ascii="宋体" w:hAnsi="宋体" w:cs="仿宋"/>
                <w:sz w:val="24"/>
              </w:rPr>
              <w:t>-</w:t>
            </w:r>
            <w:r w:rsidR="00302390">
              <w:rPr>
                <w:rFonts w:ascii="宋体" w:hAnsi="宋体" w:cs="仿宋" w:hint="eastAsia"/>
                <w:sz w:val="24"/>
              </w:rPr>
              <w:t>in</w:t>
            </w:r>
            <w:r w:rsidR="00302390">
              <w:rPr>
                <w:rFonts w:ascii="宋体" w:hAnsi="宋体" w:cs="仿宋"/>
                <w:sz w:val="24"/>
              </w:rPr>
              <w:t>-</w:t>
            </w:r>
            <w:r>
              <w:rPr>
                <w:rFonts w:ascii="宋体" w:hAnsi="宋体" w:cs="仿宋" w:hint="eastAsia"/>
                <w:sz w:val="24"/>
              </w:rPr>
              <w:t>class或</w:t>
            </w:r>
            <w:r w:rsidR="00183B53">
              <w:rPr>
                <w:rFonts w:ascii="宋体" w:hAnsi="宋体" w:cs="仿宋" w:hint="eastAsia"/>
                <w:sz w:val="24"/>
              </w:rPr>
              <w:t>best</w:t>
            </w:r>
            <w:r w:rsidR="00183B53">
              <w:rPr>
                <w:rFonts w:ascii="宋体" w:hAnsi="宋体" w:cs="仿宋"/>
                <w:sz w:val="24"/>
              </w:rPr>
              <w:t>-</w:t>
            </w:r>
            <w:r w:rsidR="00183B53">
              <w:rPr>
                <w:rFonts w:ascii="宋体" w:hAnsi="宋体" w:cs="仿宋" w:hint="eastAsia"/>
                <w:sz w:val="24"/>
              </w:rPr>
              <w:t>in</w:t>
            </w:r>
            <w:r w:rsidR="00183B53">
              <w:rPr>
                <w:rFonts w:ascii="宋体" w:hAnsi="宋体" w:cs="仿宋"/>
                <w:sz w:val="24"/>
              </w:rPr>
              <w:t>-</w:t>
            </w:r>
            <w:r>
              <w:rPr>
                <w:rFonts w:ascii="宋体" w:hAnsi="宋体" w:cs="仿宋" w:hint="eastAsia"/>
                <w:sz w:val="24"/>
              </w:rPr>
              <w:t>class产品救治患者，推动赛诺</w:t>
            </w:r>
            <w:proofErr w:type="gramStart"/>
            <w:r>
              <w:rPr>
                <w:rFonts w:ascii="宋体" w:hAnsi="宋体" w:cs="仿宋" w:hint="eastAsia"/>
                <w:sz w:val="24"/>
              </w:rPr>
              <w:t>医疗从</w:t>
            </w:r>
            <w:proofErr w:type="gramEnd"/>
            <w:r>
              <w:rPr>
                <w:rFonts w:ascii="宋体" w:hAnsi="宋体" w:cs="仿宋" w:hint="eastAsia"/>
                <w:sz w:val="24"/>
              </w:rPr>
              <w:t>主要面向中国市场，逐步进入</w:t>
            </w:r>
            <w:r w:rsidR="00EC4924">
              <w:rPr>
                <w:rFonts w:ascii="宋体" w:hAnsi="宋体" w:cs="仿宋" w:hint="eastAsia"/>
                <w:sz w:val="24"/>
              </w:rPr>
              <w:t>并</w:t>
            </w:r>
            <w:r>
              <w:rPr>
                <w:rFonts w:ascii="宋体" w:hAnsi="宋体" w:cs="仿宋" w:hint="eastAsia"/>
                <w:sz w:val="24"/>
              </w:rPr>
              <w:t>参与全球竞争、开展全球业务的高水平转型新阶段。公司对2026年全年业务，以及以2026年为基础的下一个五年发展阶段充满信心。</w:t>
            </w:r>
          </w:p>
        </w:tc>
      </w:tr>
      <w:tr w:rsidR="002E5700" w14:paraId="4A1113A2" w14:textId="77777777">
        <w:trPr>
          <w:trHeight w:val="28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07AD4" w14:textId="77777777" w:rsidR="002E5700" w:rsidRDefault="00715962">
            <w:pPr>
              <w:spacing w:line="480" w:lineRule="atLeast"/>
              <w:jc w:val="center"/>
              <w:rPr>
                <w:rFonts w:asciiTheme="minorEastAsia" w:eastAsiaTheme="minorEastAsia" w:hAnsiTheme="minorEastAsia"/>
                <w:bCs/>
                <w:iCs/>
                <w:sz w:val="24"/>
              </w:rPr>
            </w:pPr>
            <w:r>
              <w:rPr>
                <w:rFonts w:asciiTheme="minorEastAsia" w:eastAsiaTheme="minorEastAsia" w:hAnsiTheme="minorEastAsia" w:hint="eastAsia"/>
                <w:bCs/>
                <w:iCs/>
                <w:sz w:val="24"/>
              </w:rPr>
              <w:lastRenderedPageBreak/>
              <w:t>附件清单</w:t>
            </w:r>
          </w:p>
          <w:p w14:paraId="6797DDB6" w14:textId="77777777" w:rsidR="002E5700" w:rsidRDefault="00715962">
            <w:pPr>
              <w:spacing w:line="480" w:lineRule="atLeast"/>
              <w:jc w:val="center"/>
              <w:rPr>
                <w:rFonts w:asciiTheme="minorEastAsia" w:eastAsiaTheme="minorEastAsia" w:hAnsiTheme="minorEastAsia"/>
                <w:bCs/>
                <w:iCs/>
                <w:sz w:val="24"/>
              </w:rPr>
            </w:pPr>
            <w:r>
              <w:rPr>
                <w:rFonts w:asciiTheme="minorEastAsia" w:eastAsiaTheme="minorEastAsia" w:hAnsiTheme="minorEastAsia" w:hint="eastAsia"/>
                <w:bCs/>
                <w:iCs/>
                <w:sz w:val="24"/>
              </w:rPr>
              <w:t>（如有）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18C52" w14:textId="77777777" w:rsidR="002E5700" w:rsidRDefault="00715962">
            <w:pPr>
              <w:spacing w:line="480" w:lineRule="atLeast"/>
              <w:rPr>
                <w:rFonts w:asciiTheme="minorEastAsia" w:eastAsiaTheme="minorEastAsia" w:hAnsiTheme="minorEastAsia"/>
                <w:bCs/>
                <w:iCs/>
                <w:sz w:val="24"/>
              </w:rPr>
            </w:pPr>
            <w:r>
              <w:rPr>
                <w:rFonts w:asciiTheme="minorEastAsia" w:eastAsiaTheme="minorEastAsia" w:hAnsiTheme="minorEastAsia" w:hint="eastAsia"/>
                <w:bCs/>
                <w:iCs/>
                <w:sz w:val="24"/>
              </w:rPr>
              <w:t>无</w:t>
            </w:r>
          </w:p>
        </w:tc>
      </w:tr>
      <w:tr w:rsidR="002E5700" w14:paraId="3E82A7E2" w14:textId="77777777">
        <w:trPr>
          <w:trHeight w:val="41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B12A2" w14:textId="77777777" w:rsidR="002E5700" w:rsidRDefault="00715962">
            <w:pPr>
              <w:spacing w:line="480" w:lineRule="atLeast"/>
              <w:jc w:val="center"/>
              <w:rPr>
                <w:rFonts w:asciiTheme="minorEastAsia" w:eastAsiaTheme="minorEastAsia" w:hAnsiTheme="minorEastAsia"/>
                <w:bCs/>
                <w:iCs/>
                <w:sz w:val="24"/>
              </w:rPr>
            </w:pPr>
            <w:r>
              <w:rPr>
                <w:rFonts w:asciiTheme="minorEastAsia" w:eastAsiaTheme="minorEastAsia" w:hAnsiTheme="minorEastAsia" w:hint="eastAsia"/>
                <w:bCs/>
                <w:iCs/>
                <w:sz w:val="24"/>
              </w:rPr>
              <w:t>日期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69017" w14:textId="77777777" w:rsidR="002E5700" w:rsidRDefault="00715962">
            <w:pPr>
              <w:spacing w:line="480" w:lineRule="atLeast"/>
              <w:rPr>
                <w:rFonts w:asciiTheme="minorEastAsia" w:eastAsiaTheme="minorEastAsia" w:hAnsiTheme="minorEastAsia"/>
                <w:bCs/>
                <w:iCs/>
                <w:sz w:val="24"/>
              </w:rPr>
            </w:pPr>
            <w:r>
              <w:rPr>
                <w:rFonts w:asciiTheme="minorEastAsia" w:eastAsiaTheme="minorEastAsia" w:hAnsiTheme="minorEastAsia" w:hint="eastAsia"/>
                <w:bCs/>
                <w:iCs/>
                <w:sz w:val="24"/>
              </w:rPr>
              <w:t>2</w:t>
            </w:r>
            <w:r>
              <w:rPr>
                <w:rFonts w:asciiTheme="minorEastAsia" w:eastAsiaTheme="minorEastAsia" w:hAnsiTheme="minorEastAsia"/>
                <w:bCs/>
                <w:iCs/>
                <w:sz w:val="24"/>
              </w:rPr>
              <w:t>026</w:t>
            </w:r>
            <w:r>
              <w:rPr>
                <w:rFonts w:asciiTheme="minorEastAsia" w:eastAsiaTheme="minorEastAsia" w:hAnsiTheme="minorEastAsia" w:hint="eastAsia"/>
                <w:bCs/>
                <w:iCs/>
                <w:sz w:val="24"/>
              </w:rPr>
              <w:t>年</w:t>
            </w:r>
            <w:r>
              <w:rPr>
                <w:rFonts w:asciiTheme="minorEastAsia" w:eastAsiaTheme="minorEastAsia" w:hAnsiTheme="minorEastAsia"/>
                <w:bCs/>
                <w:iCs/>
                <w:sz w:val="24"/>
              </w:rPr>
              <w:t>11</w:t>
            </w:r>
            <w:r>
              <w:rPr>
                <w:rFonts w:asciiTheme="minorEastAsia" w:eastAsiaTheme="minorEastAsia" w:hAnsiTheme="minorEastAsia" w:hint="eastAsia"/>
                <w:bCs/>
                <w:iCs/>
                <w:sz w:val="24"/>
              </w:rPr>
              <w:t>月</w:t>
            </w:r>
            <w:r>
              <w:rPr>
                <w:rFonts w:asciiTheme="minorEastAsia" w:eastAsiaTheme="minorEastAsia" w:hAnsiTheme="minorEastAsia"/>
                <w:bCs/>
                <w:iCs/>
                <w:sz w:val="24"/>
              </w:rPr>
              <w:t>2</w:t>
            </w:r>
            <w:r>
              <w:rPr>
                <w:rFonts w:asciiTheme="minorEastAsia" w:eastAsiaTheme="minorEastAsia" w:hAnsiTheme="minorEastAsia" w:hint="eastAsia"/>
                <w:bCs/>
                <w:iCs/>
                <w:sz w:val="24"/>
              </w:rPr>
              <w:t>日</w:t>
            </w:r>
          </w:p>
        </w:tc>
      </w:tr>
    </w:tbl>
    <w:p w14:paraId="356F67BD" w14:textId="77777777" w:rsidR="002E5700" w:rsidRDefault="002E5700">
      <w:pPr>
        <w:rPr>
          <w:rFonts w:asciiTheme="minorEastAsia" w:eastAsiaTheme="minorEastAsia" w:hAnsiTheme="minorEastAsia"/>
          <w:sz w:val="24"/>
        </w:rPr>
      </w:pPr>
    </w:p>
    <w:sectPr w:rsidR="002E5700">
      <w:headerReference w:type="default" r:id="rId6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A4C805" w14:textId="77777777" w:rsidR="00D01D2A" w:rsidRDefault="00D01D2A">
      <w:r>
        <w:separator/>
      </w:r>
    </w:p>
  </w:endnote>
  <w:endnote w:type="continuationSeparator" w:id="0">
    <w:p w14:paraId="0F59533A" w14:textId="77777777" w:rsidR="00D01D2A" w:rsidRDefault="00D01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CE43C9" w14:textId="77777777" w:rsidR="00D01D2A" w:rsidRDefault="00D01D2A">
      <w:r>
        <w:separator/>
      </w:r>
    </w:p>
  </w:footnote>
  <w:footnote w:type="continuationSeparator" w:id="0">
    <w:p w14:paraId="7188BBB4" w14:textId="77777777" w:rsidR="00D01D2A" w:rsidRDefault="00D01D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E3BD5" w14:textId="77777777" w:rsidR="002E5700" w:rsidRDefault="00715962">
    <w:pPr>
      <w:pStyle w:val="a9"/>
      <w:jc w:val="right"/>
    </w:pPr>
    <w:r>
      <w:rPr>
        <w:rFonts w:hint="eastAsia"/>
      </w:rPr>
      <w:t>赛诺医疗科学技术股份有限公司投资者关系活动记录表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61F"/>
    <w:rsid w:val="000034FB"/>
    <w:rsid w:val="00005DB8"/>
    <w:rsid w:val="00010D72"/>
    <w:rsid w:val="000162CC"/>
    <w:rsid w:val="00024825"/>
    <w:rsid w:val="00030FC2"/>
    <w:rsid w:val="0003323E"/>
    <w:rsid w:val="00037D98"/>
    <w:rsid w:val="00045162"/>
    <w:rsid w:val="00053E2B"/>
    <w:rsid w:val="00055ED8"/>
    <w:rsid w:val="0005671F"/>
    <w:rsid w:val="00062D38"/>
    <w:rsid w:val="00066485"/>
    <w:rsid w:val="00070254"/>
    <w:rsid w:val="00070E41"/>
    <w:rsid w:val="00071F84"/>
    <w:rsid w:val="000801F4"/>
    <w:rsid w:val="0008116A"/>
    <w:rsid w:val="00081AF6"/>
    <w:rsid w:val="00084F44"/>
    <w:rsid w:val="0009655F"/>
    <w:rsid w:val="000A261D"/>
    <w:rsid w:val="000B1CE7"/>
    <w:rsid w:val="000C1911"/>
    <w:rsid w:val="000C2682"/>
    <w:rsid w:val="00100A29"/>
    <w:rsid w:val="00114DB7"/>
    <w:rsid w:val="001156C6"/>
    <w:rsid w:val="00117091"/>
    <w:rsid w:val="00120599"/>
    <w:rsid w:val="00120AE5"/>
    <w:rsid w:val="001217FE"/>
    <w:rsid w:val="00122877"/>
    <w:rsid w:val="00126A65"/>
    <w:rsid w:val="001303E5"/>
    <w:rsid w:val="001312EF"/>
    <w:rsid w:val="00133C97"/>
    <w:rsid w:val="0013502C"/>
    <w:rsid w:val="00135EDE"/>
    <w:rsid w:val="00136B44"/>
    <w:rsid w:val="00147E98"/>
    <w:rsid w:val="00157856"/>
    <w:rsid w:val="00157D19"/>
    <w:rsid w:val="001605AB"/>
    <w:rsid w:val="00167C09"/>
    <w:rsid w:val="0017430F"/>
    <w:rsid w:val="001747B7"/>
    <w:rsid w:val="001758E0"/>
    <w:rsid w:val="00175E45"/>
    <w:rsid w:val="00176D15"/>
    <w:rsid w:val="00180566"/>
    <w:rsid w:val="0018300E"/>
    <w:rsid w:val="00183B53"/>
    <w:rsid w:val="00184D96"/>
    <w:rsid w:val="00195D39"/>
    <w:rsid w:val="001A0523"/>
    <w:rsid w:val="001A0C3A"/>
    <w:rsid w:val="001A54CF"/>
    <w:rsid w:val="001A66F0"/>
    <w:rsid w:val="001A788B"/>
    <w:rsid w:val="001B13CD"/>
    <w:rsid w:val="001B3A1D"/>
    <w:rsid w:val="001B5AA7"/>
    <w:rsid w:val="001B7794"/>
    <w:rsid w:val="001C41E2"/>
    <w:rsid w:val="001D45CC"/>
    <w:rsid w:val="001D4A9E"/>
    <w:rsid w:val="001D7613"/>
    <w:rsid w:val="001E0FF3"/>
    <w:rsid w:val="001E3818"/>
    <w:rsid w:val="001E7E03"/>
    <w:rsid w:val="001F0B8A"/>
    <w:rsid w:val="001F34B0"/>
    <w:rsid w:val="0020055A"/>
    <w:rsid w:val="00201F2B"/>
    <w:rsid w:val="002040B2"/>
    <w:rsid w:val="002054BD"/>
    <w:rsid w:val="00212EAD"/>
    <w:rsid w:val="002142F6"/>
    <w:rsid w:val="00220CD2"/>
    <w:rsid w:val="002218AB"/>
    <w:rsid w:val="00223A98"/>
    <w:rsid w:val="002422D2"/>
    <w:rsid w:val="0024371C"/>
    <w:rsid w:val="00253B68"/>
    <w:rsid w:val="00262C03"/>
    <w:rsid w:val="00262FD7"/>
    <w:rsid w:val="00270692"/>
    <w:rsid w:val="00280A1B"/>
    <w:rsid w:val="00287405"/>
    <w:rsid w:val="00295D01"/>
    <w:rsid w:val="002967A3"/>
    <w:rsid w:val="002A024A"/>
    <w:rsid w:val="002A1469"/>
    <w:rsid w:val="002A166B"/>
    <w:rsid w:val="002A2DE1"/>
    <w:rsid w:val="002A7D7E"/>
    <w:rsid w:val="002B1424"/>
    <w:rsid w:val="002B66EE"/>
    <w:rsid w:val="002C0A04"/>
    <w:rsid w:val="002C1104"/>
    <w:rsid w:val="002E5700"/>
    <w:rsid w:val="002F106A"/>
    <w:rsid w:val="002F1FDF"/>
    <w:rsid w:val="002F5E9D"/>
    <w:rsid w:val="002F5EBA"/>
    <w:rsid w:val="00301723"/>
    <w:rsid w:val="00302390"/>
    <w:rsid w:val="0030569F"/>
    <w:rsid w:val="00306888"/>
    <w:rsid w:val="003156D3"/>
    <w:rsid w:val="00325FF0"/>
    <w:rsid w:val="00326E32"/>
    <w:rsid w:val="00346EC0"/>
    <w:rsid w:val="003523C4"/>
    <w:rsid w:val="00354322"/>
    <w:rsid w:val="00360507"/>
    <w:rsid w:val="0036123B"/>
    <w:rsid w:val="00361763"/>
    <w:rsid w:val="00364209"/>
    <w:rsid w:val="00364383"/>
    <w:rsid w:val="00365A62"/>
    <w:rsid w:val="0037720E"/>
    <w:rsid w:val="00381AC0"/>
    <w:rsid w:val="00382E96"/>
    <w:rsid w:val="00384583"/>
    <w:rsid w:val="00390E3D"/>
    <w:rsid w:val="003A190A"/>
    <w:rsid w:val="003A203E"/>
    <w:rsid w:val="003A4BF2"/>
    <w:rsid w:val="003A78D0"/>
    <w:rsid w:val="003B07AB"/>
    <w:rsid w:val="003B4F0D"/>
    <w:rsid w:val="003B6DA1"/>
    <w:rsid w:val="003C0048"/>
    <w:rsid w:val="003C7FA2"/>
    <w:rsid w:val="003D43DC"/>
    <w:rsid w:val="003D593D"/>
    <w:rsid w:val="003E2437"/>
    <w:rsid w:val="003F41E8"/>
    <w:rsid w:val="00401338"/>
    <w:rsid w:val="00402CE5"/>
    <w:rsid w:val="004103A7"/>
    <w:rsid w:val="00415841"/>
    <w:rsid w:val="0042087C"/>
    <w:rsid w:val="00420D0E"/>
    <w:rsid w:val="004215FD"/>
    <w:rsid w:val="00422860"/>
    <w:rsid w:val="00424F67"/>
    <w:rsid w:val="0044158A"/>
    <w:rsid w:val="004417A8"/>
    <w:rsid w:val="00443B0F"/>
    <w:rsid w:val="004500D2"/>
    <w:rsid w:val="004525A4"/>
    <w:rsid w:val="004657A6"/>
    <w:rsid w:val="00473535"/>
    <w:rsid w:val="00480A8A"/>
    <w:rsid w:val="00482802"/>
    <w:rsid w:val="004935F9"/>
    <w:rsid w:val="00496A64"/>
    <w:rsid w:val="004A7294"/>
    <w:rsid w:val="004B24ED"/>
    <w:rsid w:val="004B42B3"/>
    <w:rsid w:val="004B472E"/>
    <w:rsid w:val="004B4921"/>
    <w:rsid w:val="004B62CD"/>
    <w:rsid w:val="004B7275"/>
    <w:rsid w:val="004C38F4"/>
    <w:rsid w:val="004D12C3"/>
    <w:rsid w:val="004D1D07"/>
    <w:rsid w:val="004D2577"/>
    <w:rsid w:val="004E1791"/>
    <w:rsid w:val="004F4A46"/>
    <w:rsid w:val="004F6145"/>
    <w:rsid w:val="00500300"/>
    <w:rsid w:val="0050563F"/>
    <w:rsid w:val="00520671"/>
    <w:rsid w:val="005307CC"/>
    <w:rsid w:val="0054095E"/>
    <w:rsid w:val="00553D16"/>
    <w:rsid w:val="0055505F"/>
    <w:rsid w:val="00563B37"/>
    <w:rsid w:val="00563D28"/>
    <w:rsid w:val="00573EA8"/>
    <w:rsid w:val="00577940"/>
    <w:rsid w:val="00581515"/>
    <w:rsid w:val="005852AB"/>
    <w:rsid w:val="005935CD"/>
    <w:rsid w:val="00593F26"/>
    <w:rsid w:val="0059636C"/>
    <w:rsid w:val="005A1EB6"/>
    <w:rsid w:val="005A29A5"/>
    <w:rsid w:val="005A456F"/>
    <w:rsid w:val="005A57EF"/>
    <w:rsid w:val="005C017D"/>
    <w:rsid w:val="005C13D9"/>
    <w:rsid w:val="005D011C"/>
    <w:rsid w:val="005D43CB"/>
    <w:rsid w:val="005D5224"/>
    <w:rsid w:val="005D742B"/>
    <w:rsid w:val="005E6579"/>
    <w:rsid w:val="005F12E6"/>
    <w:rsid w:val="005F34F8"/>
    <w:rsid w:val="005F7F9E"/>
    <w:rsid w:val="00600A3A"/>
    <w:rsid w:val="00600BE8"/>
    <w:rsid w:val="00601DE9"/>
    <w:rsid w:val="006022A1"/>
    <w:rsid w:val="00602F73"/>
    <w:rsid w:val="00622B31"/>
    <w:rsid w:val="0062747E"/>
    <w:rsid w:val="00631CBD"/>
    <w:rsid w:val="006324C3"/>
    <w:rsid w:val="0064218C"/>
    <w:rsid w:val="00645CB7"/>
    <w:rsid w:val="00645EBB"/>
    <w:rsid w:val="00656752"/>
    <w:rsid w:val="00665288"/>
    <w:rsid w:val="00665EF5"/>
    <w:rsid w:val="0068274C"/>
    <w:rsid w:val="00683396"/>
    <w:rsid w:val="00686F89"/>
    <w:rsid w:val="006870DD"/>
    <w:rsid w:val="0068748E"/>
    <w:rsid w:val="00687975"/>
    <w:rsid w:val="0069336C"/>
    <w:rsid w:val="00697BBA"/>
    <w:rsid w:val="006A12D3"/>
    <w:rsid w:val="006B1DDD"/>
    <w:rsid w:val="006B5B58"/>
    <w:rsid w:val="006B5D24"/>
    <w:rsid w:val="006B5F4A"/>
    <w:rsid w:val="006C12DC"/>
    <w:rsid w:val="006C177D"/>
    <w:rsid w:val="006C4544"/>
    <w:rsid w:val="006C7B4E"/>
    <w:rsid w:val="006C7E52"/>
    <w:rsid w:val="006E458E"/>
    <w:rsid w:val="006E4CEA"/>
    <w:rsid w:val="006F2D74"/>
    <w:rsid w:val="006F3226"/>
    <w:rsid w:val="006F3843"/>
    <w:rsid w:val="006F725F"/>
    <w:rsid w:val="00702C30"/>
    <w:rsid w:val="00715962"/>
    <w:rsid w:val="007256DB"/>
    <w:rsid w:val="00734A85"/>
    <w:rsid w:val="007351BB"/>
    <w:rsid w:val="0074081B"/>
    <w:rsid w:val="00752C45"/>
    <w:rsid w:val="00752E8D"/>
    <w:rsid w:val="007602B6"/>
    <w:rsid w:val="0076271E"/>
    <w:rsid w:val="00764FC3"/>
    <w:rsid w:val="007738C5"/>
    <w:rsid w:val="00774150"/>
    <w:rsid w:val="00777D97"/>
    <w:rsid w:val="00783CDE"/>
    <w:rsid w:val="007932D7"/>
    <w:rsid w:val="007954D6"/>
    <w:rsid w:val="00795F6F"/>
    <w:rsid w:val="00797308"/>
    <w:rsid w:val="00797EE9"/>
    <w:rsid w:val="007B03CA"/>
    <w:rsid w:val="007B4D9E"/>
    <w:rsid w:val="007B6361"/>
    <w:rsid w:val="007C263E"/>
    <w:rsid w:val="007C7F64"/>
    <w:rsid w:val="007D18DB"/>
    <w:rsid w:val="007D240B"/>
    <w:rsid w:val="007E7F20"/>
    <w:rsid w:val="007F161F"/>
    <w:rsid w:val="007F16EF"/>
    <w:rsid w:val="007F3FBD"/>
    <w:rsid w:val="00804E17"/>
    <w:rsid w:val="00806FFF"/>
    <w:rsid w:val="0081213B"/>
    <w:rsid w:val="00813717"/>
    <w:rsid w:val="00816CB3"/>
    <w:rsid w:val="008239C8"/>
    <w:rsid w:val="00834043"/>
    <w:rsid w:val="00836872"/>
    <w:rsid w:val="008540F6"/>
    <w:rsid w:val="00866ABA"/>
    <w:rsid w:val="00867261"/>
    <w:rsid w:val="00870405"/>
    <w:rsid w:val="00870E7E"/>
    <w:rsid w:val="008771EE"/>
    <w:rsid w:val="00881745"/>
    <w:rsid w:val="00894354"/>
    <w:rsid w:val="00895058"/>
    <w:rsid w:val="008A5C40"/>
    <w:rsid w:val="008B641F"/>
    <w:rsid w:val="008B7125"/>
    <w:rsid w:val="008C2F34"/>
    <w:rsid w:val="008C406F"/>
    <w:rsid w:val="008C6116"/>
    <w:rsid w:val="008D2168"/>
    <w:rsid w:val="008D3CC9"/>
    <w:rsid w:val="008D7A61"/>
    <w:rsid w:val="008E1BFA"/>
    <w:rsid w:val="008E39DD"/>
    <w:rsid w:val="008E61F7"/>
    <w:rsid w:val="008E721D"/>
    <w:rsid w:val="008F27B2"/>
    <w:rsid w:val="008F2FA2"/>
    <w:rsid w:val="008F7F47"/>
    <w:rsid w:val="00901C0B"/>
    <w:rsid w:val="009137FD"/>
    <w:rsid w:val="00916138"/>
    <w:rsid w:val="0092006A"/>
    <w:rsid w:val="00927F25"/>
    <w:rsid w:val="00930108"/>
    <w:rsid w:val="00931B7A"/>
    <w:rsid w:val="00934BC1"/>
    <w:rsid w:val="00935752"/>
    <w:rsid w:val="00941E34"/>
    <w:rsid w:val="00942B86"/>
    <w:rsid w:val="009452FD"/>
    <w:rsid w:val="00946A12"/>
    <w:rsid w:val="009474B3"/>
    <w:rsid w:val="0094757C"/>
    <w:rsid w:val="0095666F"/>
    <w:rsid w:val="00956F18"/>
    <w:rsid w:val="00961345"/>
    <w:rsid w:val="009616D1"/>
    <w:rsid w:val="00975C34"/>
    <w:rsid w:val="009779BD"/>
    <w:rsid w:val="00977C77"/>
    <w:rsid w:val="00983B17"/>
    <w:rsid w:val="00996A27"/>
    <w:rsid w:val="009A224D"/>
    <w:rsid w:val="009A2B27"/>
    <w:rsid w:val="009A4839"/>
    <w:rsid w:val="009A7F01"/>
    <w:rsid w:val="009B5B5A"/>
    <w:rsid w:val="009B5DF0"/>
    <w:rsid w:val="009C3CDD"/>
    <w:rsid w:val="009D4E81"/>
    <w:rsid w:val="009E38E1"/>
    <w:rsid w:val="009F15D7"/>
    <w:rsid w:val="009F5504"/>
    <w:rsid w:val="00A0182F"/>
    <w:rsid w:val="00A03DA6"/>
    <w:rsid w:val="00A044CD"/>
    <w:rsid w:val="00A0721D"/>
    <w:rsid w:val="00A10818"/>
    <w:rsid w:val="00A15A86"/>
    <w:rsid w:val="00A259A5"/>
    <w:rsid w:val="00A27F73"/>
    <w:rsid w:val="00A35204"/>
    <w:rsid w:val="00A37881"/>
    <w:rsid w:val="00A4084E"/>
    <w:rsid w:val="00A4116B"/>
    <w:rsid w:val="00A46297"/>
    <w:rsid w:val="00A47792"/>
    <w:rsid w:val="00A60246"/>
    <w:rsid w:val="00A869E5"/>
    <w:rsid w:val="00A90F1A"/>
    <w:rsid w:val="00A96149"/>
    <w:rsid w:val="00AA261F"/>
    <w:rsid w:val="00AA3099"/>
    <w:rsid w:val="00AB2E59"/>
    <w:rsid w:val="00AD2E1F"/>
    <w:rsid w:val="00AD4C76"/>
    <w:rsid w:val="00AD7AB2"/>
    <w:rsid w:val="00AE558F"/>
    <w:rsid w:val="00AF02D0"/>
    <w:rsid w:val="00AF299F"/>
    <w:rsid w:val="00AF3E4F"/>
    <w:rsid w:val="00B0042E"/>
    <w:rsid w:val="00B128B2"/>
    <w:rsid w:val="00B17777"/>
    <w:rsid w:val="00B21FDF"/>
    <w:rsid w:val="00B23861"/>
    <w:rsid w:val="00B37870"/>
    <w:rsid w:val="00B42062"/>
    <w:rsid w:val="00B557E7"/>
    <w:rsid w:val="00B5796F"/>
    <w:rsid w:val="00B60605"/>
    <w:rsid w:val="00B63033"/>
    <w:rsid w:val="00B638E9"/>
    <w:rsid w:val="00B67698"/>
    <w:rsid w:val="00B67AB3"/>
    <w:rsid w:val="00B74329"/>
    <w:rsid w:val="00B75B6D"/>
    <w:rsid w:val="00B81245"/>
    <w:rsid w:val="00B85C50"/>
    <w:rsid w:val="00B878A7"/>
    <w:rsid w:val="00B95250"/>
    <w:rsid w:val="00B95EA3"/>
    <w:rsid w:val="00B971D3"/>
    <w:rsid w:val="00B975B3"/>
    <w:rsid w:val="00BA1072"/>
    <w:rsid w:val="00BA425E"/>
    <w:rsid w:val="00BB6B95"/>
    <w:rsid w:val="00BB7E38"/>
    <w:rsid w:val="00BD192C"/>
    <w:rsid w:val="00BD24AE"/>
    <w:rsid w:val="00BD2BF8"/>
    <w:rsid w:val="00BD5A2F"/>
    <w:rsid w:val="00BE1A27"/>
    <w:rsid w:val="00BE5296"/>
    <w:rsid w:val="00BE5672"/>
    <w:rsid w:val="00BF3B5A"/>
    <w:rsid w:val="00BF5412"/>
    <w:rsid w:val="00BF7682"/>
    <w:rsid w:val="00C10EA2"/>
    <w:rsid w:val="00C11BF7"/>
    <w:rsid w:val="00C23928"/>
    <w:rsid w:val="00C30AC5"/>
    <w:rsid w:val="00C32088"/>
    <w:rsid w:val="00C3752B"/>
    <w:rsid w:val="00C41428"/>
    <w:rsid w:val="00C441C6"/>
    <w:rsid w:val="00C444CA"/>
    <w:rsid w:val="00C530CE"/>
    <w:rsid w:val="00C62AE0"/>
    <w:rsid w:val="00C63A72"/>
    <w:rsid w:val="00C81143"/>
    <w:rsid w:val="00C82929"/>
    <w:rsid w:val="00C86EC1"/>
    <w:rsid w:val="00C95595"/>
    <w:rsid w:val="00C97BD6"/>
    <w:rsid w:val="00CA041F"/>
    <w:rsid w:val="00CA452F"/>
    <w:rsid w:val="00CA555D"/>
    <w:rsid w:val="00CC0001"/>
    <w:rsid w:val="00CC1169"/>
    <w:rsid w:val="00CC3CCE"/>
    <w:rsid w:val="00CC4F88"/>
    <w:rsid w:val="00CD31FB"/>
    <w:rsid w:val="00CD5F4A"/>
    <w:rsid w:val="00CE094D"/>
    <w:rsid w:val="00CE42F4"/>
    <w:rsid w:val="00CF2D2B"/>
    <w:rsid w:val="00CF5EA2"/>
    <w:rsid w:val="00D01BE5"/>
    <w:rsid w:val="00D01D2A"/>
    <w:rsid w:val="00D059C0"/>
    <w:rsid w:val="00D10767"/>
    <w:rsid w:val="00D12DEF"/>
    <w:rsid w:val="00D231EA"/>
    <w:rsid w:val="00D303DB"/>
    <w:rsid w:val="00D30A19"/>
    <w:rsid w:val="00D41D71"/>
    <w:rsid w:val="00D4532B"/>
    <w:rsid w:val="00D45532"/>
    <w:rsid w:val="00D47D82"/>
    <w:rsid w:val="00D62F3F"/>
    <w:rsid w:val="00D6676D"/>
    <w:rsid w:val="00D71B23"/>
    <w:rsid w:val="00D749A4"/>
    <w:rsid w:val="00D74F48"/>
    <w:rsid w:val="00D808B5"/>
    <w:rsid w:val="00D836DA"/>
    <w:rsid w:val="00D929DC"/>
    <w:rsid w:val="00D93C07"/>
    <w:rsid w:val="00DA0267"/>
    <w:rsid w:val="00DA0B37"/>
    <w:rsid w:val="00DA18D0"/>
    <w:rsid w:val="00DA25B1"/>
    <w:rsid w:val="00DA3B1B"/>
    <w:rsid w:val="00DB361F"/>
    <w:rsid w:val="00DB4395"/>
    <w:rsid w:val="00DC1588"/>
    <w:rsid w:val="00DC1937"/>
    <w:rsid w:val="00DC4A30"/>
    <w:rsid w:val="00DD1484"/>
    <w:rsid w:val="00DD68E0"/>
    <w:rsid w:val="00DE2A63"/>
    <w:rsid w:val="00DE462F"/>
    <w:rsid w:val="00DF05B4"/>
    <w:rsid w:val="00DF747D"/>
    <w:rsid w:val="00E00432"/>
    <w:rsid w:val="00E02039"/>
    <w:rsid w:val="00E0725D"/>
    <w:rsid w:val="00E113CE"/>
    <w:rsid w:val="00E1784E"/>
    <w:rsid w:val="00E221B5"/>
    <w:rsid w:val="00E33227"/>
    <w:rsid w:val="00E3544C"/>
    <w:rsid w:val="00E44098"/>
    <w:rsid w:val="00E47C92"/>
    <w:rsid w:val="00E6416E"/>
    <w:rsid w:val="00E66AF5"/>
    <w:rsid w:val="00E81EDF"/>
    <w:rsid w:val="00E83336"/>
    <w:rsid w:val="00E87A26"/>
    <w:rsid w:val="00E930D9"/>
    <w:rsid w:val="00EA6D0D"/>
    <w:rsid w:val="00EA6D85"/>
    <w:rsid w:val="00EB0E39"/>
    <w:rsid w:val="00EB2BF5"/>
    <w:rsid w:val="00EB4129"/>
    <w:rsid w:val="00EC3BA6"/>
    <w:rsid w:val="00EC4707"/>
    <w:rsid w:val="00EC4924"/>
    <w:rsid w:val="00EC6DAA"/>
    <w:rsid w:val="00EC7819"/>
    <w:rsid w:val="00EC7867"/>
    <w:rsid w:val="00EC790F"/>
    <w:rsid w:val="00EC793B"/>
    <w:rsid w:val="00ED429D"/>
    <w:rsid w:val="00EE4175"/>
    <w:rsid w:val="00EF6999"/>
    <w:rsid w:val="00F03FE9"/>
    <w:rsid w:val="00F110C2"/>
    <w:rsid w:val="00F11419"/>
    <w:rsid w:val="00F14A39"/>
    <w:rsid w:val="00F15AC3"/>
    <w:rsid w:val="00F20BDE"/>
    <w:rsid w:val="00F25B5B"/>
    <w:rsid w:val="00F27013"/>
    <w:rsid w:val="00F33A44"/>
    <w:rsid w:val="00F439F7"/>
    <w:rsid w:val="00F612E2"/>
    <w:rsid w:val="00F65D6E"/>
    <w:rsid w:val="00F65E80"/>
    <w:rsid w:val="00F708EB"/>
    <w:rsid w:val="00F733AA"/>
    <w:rsid w:val="00F7411C"/>
    <w:rsid w:val="00F8006D"/>
    <w:rsid w:val="00F800AE"/>
    <w:rsid w:val="00F80502"/>
    <w:rsid w:val="00F805B4"/>
    <w:rsid w:val="00F80E38"/>
    <w:rsid w:val="00F840C7"/>
    <w:rsid w:val="00F84ECB"/>
    <w:rsid w:val="00F902E4"/>
    <w:rsid w:val="00FA1CD1"/>
    <w:rsid w:val="00FA39F7"/>
    <w:rsid w:val="00FA7F28"/>
    <w:rsid w:val="00FB1E6F"/>
    <w:rsid w:val="00FB6FC1"/>
    <w:rsid w:val="00FC0E68"/>
    <w:rsid w:val="00FC0F09"/>
    <w:rsid w:val="00FC1B8F"/>
    <w:rsid w:val="00FC56E5"/>
    <w:rsid w:val="00FC7561"/>
    <w:rsid w:val="00FD1EE8"/>
    <w:rsid w:val="00FD2048"/>
    <w:rsid w:val="00FE3CAF"/>
    <w:rsid w:val="00FF0348"/>
    <w:rsid w:val="00FF57D7"/>
    <w:rsid w:val="0C2B3807"/>
    <w:rsid w:val="5B9C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B1BB9A"/>
  <w15:docId w15:val="{F09BDEA6-2027-4010-A9C0-E60872982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character" w:styleId="ad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rPr>
      <w:rFonts w:ascii="Times New Roman" w:eastAsia="宋体" w:hAnsi="Times New Roman" w:cs="Times New Roman"/>
      <w:szCs w:val="24"/>
    </w:rPr>
  </w:style>
  <w:style w:type="character" w:customStyle="1" w:styleId="ac">
    <w:name w:val="批注主题 字符"/>
    <w:basedOn w:val="a4"/>
    <w:link w:val="ab"/>
    <w:uiPriority w:val="99"/>
    <w:semiHidden/>
    <w:rPr>
      <w:rFonts w:ascii="Times New Roman" w:eastAsia="宋体" w:hAnsi="Times New Roman" w:cs="Times New Roman"/>
      <w:b/>
      <w:bCs/>
      <w:szCs w:val="24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10</Pages>
  <Words>1292</Words>
  <Characters>7365</Characters>
  <Application>Microsoft Office Word</Application>
  <DocSecurity>0</DocSecurity>
  <Lines>61</Lines>
  <Paragraphs>17</Paragraphs>
  <ScaleCrop>false</ScaleCrop>
  <Company/>
  <LinksUpToDate>false</LinksUpToDate>
  <CharactersWithSpaces>8640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skd004</dc:creator>
  <cp:lastModifiedBy>王小晨</cp:lastModifiedBy>
  <cp:revision>245</cp:revision>
  <dcterms:created xsi:type="dcterms:W3CDTF">2025-04-30T03:30:00Z</dcterms:created>
  <dcterms:modified xsi:type="dcterms:W3CDTF">2026-11-03T09:36:00Z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eyJoZGlkIjoiMzEwNTM5NzYwMDRjMzkwZTVkZjY2ODkwMGIxNGU0OTUiLCJ1c2VySWQiOiIyOTA5NDY3MjgifQ==</vt:lpwstr>
  </property>
  <property fmtid="{D5CDD505-2E9C-101B-9397-08002B2CF9AE}" pid="3" name="KSOProductBuildVer">
    <vt:lpwstr>2052-12.1.0.29680</vt:lpwstr>
  </property>
  <property fmtid="{D5CDD505-2E9C-101B-9397-08002B2CF9AE}" pid="4" name="ICV">
    <vt:lpwstr>B02CD9DF362C4CCF93B7B44150196676_13</vt:lpwstr>
  </property>
</Properties>
</file>