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AB4C0" w14:textId="77777777" w:rsidR="003C6990" w:rsidRDefault="00D9351F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宁波乐惠国际工程装备股份有限公司</w:t>
      </w:r>
    </w:p>
    <w:p w14:paraId="67C51E7C" w14:textId="77777777" w:rsidR="003C6990" w:rsidRDefault="00D9351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0"/>
          <w:szCs w:val="30"/>
        </w:rPr>
        <w:t>投资者关系活动记录表</w:t>
      </w:r>
    </w:p>
    <w:tbl>
      <w:tblPr>
        <w:tblStyle w:val="a5"/>
        <w:tblW w:w="8475" w:type="dxa"/>
        <w:tblLook w:val="04A0" w:firstRow="1" w:lastRow="0" w:firstColumn="1" w:lastColumn="0" w:noHBand="0" w:noVBand="1"/>
      </w:tblPr>
      <w:tblGrid>
        <w:gridCol w:w="1838"/>
        <w:gridCol w:w="6637"/>
      </w:tblGrid>
      <w:tr w:rsidR="003C6990" w14:paraId="2C8D492F" w14:textId="77777777" w:rsidTr="00E22D52">
        <w:trPr>
          <w:trHeight w:val="2007"/>
        </w:trPr>
        <w:tc>
          <w:tcPr>
            <w:tcW w:w="1838" w:type="dxa"/>
            <w:vAlign w:val="center"/>
          </w:tcPr>
          <w:p w14:paraId="102F7B1A" w14:textId="77777777" w:rsidR="003C6990" w:rsidRDefault="00D935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投资者关系活动类别</w:t>
            </w:r>
          </w:p>
        </w:tc>
        <w:tc>
          <w:tcPr>
            <w:tcW w:w="6637" w:type="dxa"/>
            <w:vAlign w:val="center"/>
          </w:tcPr>
          <w:p w14:paraId="0892582F" w14:textId="08DCFF37" w:rsidR="003C6990" w:rsidRDefault="00D9351F">
            <w:pPr>
              <w:spacing w:line="360" w:lineRule="auto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特定对象调研；</w:t>
            </w:r>
            <w:r w:rsidR="00E669B2">
              <w:rPr>
                <w:rFonts w:asciiTheme="minorEastAsia" w:hAnsiTheme="minorEastAsia" w:cs="Times New Roman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分析师会议； </w:t>
            </w:r>
          </w:p>
          <w:p w14:paraId="714DBE57" w14:textId="6AB5BAA1" w:rsidR="003C6990" w:rsidRDefault="00D9351F">
            <w:pPr>
              <w:spacing w:line="360" w:lineRule="auto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□媒体采访； </w:t>
            </w:r>
            <w:r w:rsidR="00E669B2">
              <w:rPr>
                <w:rFonts w:asciiTheme="minorEastAsia" w:hAnsiTheme="minorEastAsia" w:cs="Times New Roman" w:hint="eastAsia"/>
                <w:sz w:val="24"/>
                <w:szCs w:val="24"/>
              </w:rPr>
              <w:sym w:font="Wingdings 2" w:char="F052"/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业绩说明会； </w:t>
            </w:r>
          </w:p>
          <w:p w14:paraId="4E8C0372" w14:textId="77777777" w:rsidR="003C6990" w:rsidRDefault="00D9351F">
            <w:pPr>
              <w:spacing w:line="360" w:lineRule="auto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□新闻发布会； □路演活动；</w:t>
            </w:r>
          </w:p>
          <w:p w14:paraId="6C6CFF5B" w14:textId="21379D4D" w:rsidR="003C6990" w:rsidRDefault="008A37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□</w:t>
            </w:r>
            <w:r w:rsidR="00D9351F">
              <w:rPr>
                <w:rFonts w:asciiTheme="minorEastAsia" w:hAnsiTheme="minorEastAsia" w:cs="Times New Roman" w:hint="eastAsia"/>
                <w:sz w:val="24"/>
                <w:szCs w:val="24"/>
              </w:rPr>
              <w:t>现场参观；</w:t>
            </w:r>
            <w:r w:rsidR="00E669B2">
              <w:rPr>
                <w:rFonts w:asciiTheme="minorEastAsia" w:hAnsiTheme="minorEastAsia" w:cs="Times New Roman" w:hint="eastAsia"/>
                <w:sz w:val="24"/>
                <w:szCs w:val="24"/>
              </w:rPr>
              <w:sym w:font="Wingdings 2" w:char="F052"/>
            </w:r>
            <w:r w:rsidR="00D9351F">
              <w:rPr>
                <w:rFonts w:asciiTheme="minorEastAsia" w:hAnsiTheme="minorEastAsia" w:cs="Times New Roman" w:hint="eastAsia"/>
                <w:sz w:val="24"/>
                <w:szCs w:val="24"/>
              </w:rPr>
              <w:t>其他（</w:t>
            </w:r>
            <w:r w:rsidR="00D9351F">
              <w:rPr>
                <w:rFonts w:asciiTheme="minorEastAsia" w:hAnsiTheme="minorEastAsia" w:cs="Times New Roman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4"/>
                <w:szCs w:val="24"/>
                <w:u w:val="single"/>
              </w:rPr>
              <w:t>电话会议</w:t>
            </w:r>
            <w:r w:rsidR="00D9351F">
              <w:rPr>
                <w:rFonts w:asciiTheme="minorEastAsia" w:hAnsiTheme="minorEastAsia" w:cs="Times New Roman" w:hint="eastAsia"/>
                <w:sz w:val="24"/>
                <w:szCs w:val="24"/>
                <w:u w:val="single"/>
              </w:rPr>
              <w:t xml:space="preserve">   </w:t>
            </w:r>
            <w:r w:rsidR="00D9351F">
              <w:rPr>
                <w:rFonts w:asciiTheme="minorEastAsia" w:hAnsiTheme="minorEastAsia" w:cs="Times New Roman" w:hint="eastAsia"/>
                <w:sz w:val="24"/>
                <w:szCs w:val="24"/>
              </w:rPr>
              <w:t>）</w:t>
            </w:r>
          </w:p>
        </w:tc>
      </w:tr>
      <w:tr w:rsidR="003C6990" w14:paraId="7E39FE98" w14:textId="77777777" w:rsidTr="00E22D52">
        <w:trPr>
          <w:trHeight w:val="1503"/>
        </w:trPr>
        <w:tc>
          <w:tcPr>
            <w:tcW w:w="1838" w:type="dxa"/>
            <w:vAlign w:val="center"/>
          </w:tcPr>
          <w:p w14:paraId="433D651E" w14:textId="77777777" w:rsidR="003C6990" w:rsidRDefault="00D935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参与单位名称及人员姓名</w:t>
            </w:r>
          </w:p>
        </w:tc>
        <w:tc>
          <w:tcPr>
            <w:tcW w:w="6637" w:type="dxa"/>
          </w:tcPr>
          <w:p w14:paraId="255D0FF5" w14:textId="77777777" w:rsidR="003C6990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大成基金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华夏基金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兴全基金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野村东方国际证券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信璞投资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兴银基金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中欧基金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长安基金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汇丰晋信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华安基金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广发基金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嘉实基金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煜德投资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太保资产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恒复投资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富兰克林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烁石资本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亿库资本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君茂资本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钟港基金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顶天投资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Greencourt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6990" w14:paraId="047A20A1" w14:textId="77777777" w:rsidTr="00E22D52">
        <w:trPr>
          <w:trHeight w:val="560"/>
        </w:trPr>
        <w:tc>
          <w:tcPr>
            <w:tcW w:w="1838" w:type="dxa"/>
            <w:vAlign w:val="center"/>
          </w:tcPr>
          <w:p w14:paraId="11E91032" w14:textId="77777777" w:rsidR="003C6990" w:rsidRDefault="00D935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时间</w:t>
            </w:r>
          </w:p>
        </w:tc>
        <w:tc>
          <w:tcPr>
            <w:tcW w:w="6637" w:type="dxa"/>
          </w:tcPr>
          <w:p w14:paraId="351F151F" w14:textId="74834252" w:rsidR="003C6990" w:rsidRDefault="00D9351F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月</w:t>
            </w:r>
            <w:r w:rsidR="00E22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日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CB7E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B7EE8"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  <w:r w:rsidR="00E22D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B7EE8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5C30D5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  <w:r w:rsidR="00CB7EE8"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  <w:r w:rsidR="005C30D5">
              <w:rPr>
                <w:rFonts w:ascii="Times New Roman" w:hAnsi="Times New Roman" w:cs="Times New Roman" w:hint="eastAsia"/>
                <w:sz w:val="24"/>
                <w:szCs w:val="24"/>
              </w:rPr>
              <w:t>45</w:t>
            </w:r>
          </w:p>
        </w:tc>
      </w:tr>
      <w:tr w:rsidR="003C6990" w14:paraId="1A285D88" w14:textId="77777777" w:rsidTr="00E22D52">
        <w:trPr>
          <w:trHeight w:val="696"/>
        </w:trPr>
        <w:tc>
          <w:tcPr>
            <w:tcW w:w="1838" w:type="dxa"/>
            <w:vAlign w:val="center"/>
          </w:tcPr>
          <w:p w14:paraId="5C427636" w14:textId="77777777" w:rsidR="003C6990" w:rsidRDefault="00D935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地点</w:t>
            </w:r>
          </w:p>
        </w:tc>
        <w:tc>
          <w:tcPr>
            <w:tcW w:w="6637" w:type="dxa"/>
          </w:tcPr>
          <w:p w14:paraId="7CBDD885" w14:textId="53FA5C3C" w:rsidR="003C6990" w:rsidRDefault="005331E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线上</w:t>
            </w:r>
          </w:p>
        </w:tc>
      </w:tr>
      <w:tr w:rsidR="003C6990" w14:paraId="4A2404BB" w14:textId="77777777" w:rsidTr="00E22D52">
        <w:trPr>
          <w:trHeight w:val="692"/>
        </w:trPr>
        <w:tc>
          <w:tcPr>
            <w:tcW w:w="1838" w:type="dxa"/>
            <w:vAlign w:val="center"/>
          </w:tcPr>
          <w:p w14:paraId="1998DD96" w14:textId="77777777" w:rsidR="003C6990" w:rsidRDefault="00D935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上市公司接待人员</w:t>
            </w:r>
          </w:p>
        </w:tc>
        <w:tc>
          <w:tcPr>
            <w:tcW w:w="6637" w:type="dxa"/>
          </w:tcPr>
          <w:p w14:paraId="2F96E034" w14:textId="511BC5D2" w:rsidR="003C6990" w:rsidRDefault="00D935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董事会秘书：徐力韬</w:t>
            </w:r>
          </w:p>
        </w:tc>
      </w:tr>
      <w:tr w:rsidR="003C6990" w14:paraId="63F349F1" w14:textId="77777777" w:rsidTr="00E22D52">
        <w:trPr>
          <w:trHeight w:val="983"/>
        </w:trPr>
        <w:tc>
          <w:tcPr>
            <w:tcW w:w="1838" w:type="dxa"/>
            <w:vAlign w:val="center"/>
          </w:tcPr>
          <w:p w14:paraId="62D64B9B" w14:textId="77777777" w:rsidR="003C6990" w:rsidRDefault="00D935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6637" w:type="dxa"/>
          </w:tcPr>
          <w:p w14:paraId="521F52B3" w14:textId="77777777" w:rsidR="003C6990" w:rsidRDefault="00D935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活动期间谈论的主要内容如下：</w:t>
            </w:r>
          </w:p>
          <w:p w14:paraId="16B46B41" w14:textId="77777777" w:rsidR="003C6990" w:rsidRDefault="00D9351F">
            <w:pPr>
              <w:pStyle w:val="a6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公司介绍情况</w:t>
            </w:r>
          </w:p>
          <w:p w14:paraId="2283685E" w14:textId="77777777" w:rsidR="003C6990" w:rsidRDefault="00D9351F">
            <w:pPr>
              <w:spacing w:line="360" w:lineRule="auto"/>
              <w:ind w:firstLineChars="175" w:firstLine="4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宁波乐惠国际工程装备股份有限公司（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603076.SH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）是国内领先的液态食品装备服务商，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主营啤酒、饮料、乳品成套酿造与包装设备，可为客户提供整厂交钥匙工程，客户遍布海内外；公司依托装备制造优势向下游延伸，打造自有精酿鲜啤品牌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鲜啤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公里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，采用分布式产能模式生产活酵母鲜啤，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发展第二增长曲线</w:t>
            </w:r>
          </w:p>
          <w:p w14:paraId="2647AA21" w14:textId="77777777" w:rsidR="003C6990" w:rsidRDefault="00D9351F">
            <w:pPr>
              <w:spacing w:line="360" w:lineRule="auto"/>
              <w:ind w:firstLineChars="175" w:firstLine="4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年前三季度，公司实现营收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亿元，同比增长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16.37%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；归母净利润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2741.18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万元，同比下滑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18.42%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，扣非归母净利润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2329.65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万元，同比增长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38.75%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，扣非表现向好，归母利润波动主要受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汇率波动影响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，装备主业保持稳健，鲜啤第二曲线持续推进。</w:t>
            </w:r>
          </w:p>
          <w:p w14:paraId="26566E82" w14:textId="77777777" w:rsidR="003C6990" w:rsidRDefault="00D9351F">
            <w:pPr>
              <w:pStyle w:val="a6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投资者提问环节</w:t>
            </w:r>
          </w:p>
          <w:p w14:paraId="5CDA45BF" w14:textId="77777777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：公司在各渠道的布局与拓展情况如何？</w:t>
            </w:r>
          </w:p>
          <w:p w14:paraId="3CB28608" w14:textId="1F3C9D7B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：经销渠道为公司的核心基础，保持积极招收与吸纳优质经销商的节奏。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ODM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渠道在开放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ODM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业务后呈现良好增长势头，与主流新零售平台保持紧密合作。小酒馆：全面转向轻资产加盟模式，核心关注加盟商的单店运营质量与稳健盈利，不盲目追求数量扩张，未来将持续聚焦华东及有酒厂布局的核心城市。</w:t>
            </w:r>
          </w:p>
          <w:p w14:paraId="27CCABFC" w14:textId="77777777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KA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与线上：与大润发、麦德龙等传统优质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KA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保持深耕；线上渠道主要发挥价格锚定、品牌展示及长尾市场覆盖的作用。</w:t>
            </w:r>
          </w:p>
          <w:p w14:paraId="71EEBC88" w14:textId="77777777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3B360" w14:textId="77777777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：啤酒产能利用率及生产端盈利情况如何？</w:t>
            </w:r>
          </w:p>
          <w:p w14:paraId="64C56162" w14:textId="0ED9C21A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：各大生产基地根据市场实际需求有序排产。宁波工厂保持高位开工状态，；部分次新工厂及新设基地处于产能爬坡或建设阶段。随着终端销量的逐步提升，整体生产效率与供应链效益将持续改善。</w:t>
            </w:r>
          </w:p>
          <w:p w14:paraId="0335E205" w14:textId="77777777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C7F21" w14:textId="77777777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：机械装备板块当前的订单与海外经营状况如何？</w:t>
            </w:r>
          </w:p>
          <w:p w14:paraId="5716005D" w14:textId="6DEEA7BF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：装备板块整体表现良好，国内外业务均维持稳健增长。面对汇率波动导致的汇兑损益，管理层正积极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尝试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通过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各种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方式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方法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降低影响。</w:t>
            </w:r>
          </w:p>
          <w:p w14:paraId="0218C56F" w14:textId="77777777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AD80B" w14:textId="77777777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：公司在产品研发与技术创新方面的规划是什么？</w:t>
            </w:r>
          </w:p>
          <w:p w14:paraId="371ED1A0" w14:textId="4BB06B63" w:rsidR="00E22D52" w:rsidRPr="00E22D52" w:rsidRDefault="00E22D52" w:rsidP="00E22D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：研发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在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果啤、无醇啤酒等契合年轻消费群体与特定渠道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每年保持一定的新品推出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但在传统风味的啤酒新品一直都保持克制，不盲目扩张</w:t>
            </w:r>
            <w:r w:rsidR="0089784F">
              <w:rPr>
                <w:rFonts w:ascii="Times New Roman" w:hAnsi="Times New Roman" w:cs="Times New Roman" w:hint="eastAsia"/>
                <w:sz w:val="24"/>
                <w:szCs w:val="24"/>
              </w:rPr>
              <w:t>品类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  <w:p w14:paraId="345CB75D" w14:textId="35B2964B" w:rsidR="003C6990" w:rsidRDefault="00E22D52" w:rsidP="00E22D52">
            <w:pPr>
              <w:spacing w:line="360" w:lineRule="auto"/>
              <w:ind w:firstLineChars="175" w:firstLine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技术突破：成功</w:t>
            </w:r>
            <w:bookmarkStart w:id="0" w:name="_GoBack"/>
            <w:bookmarkEnd w:id="0"/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攻克无土过滤技术，满足国际环保要求。该技术在设备端已经实现商业化应用。凭借此过滤技术研发的无醇啤酒产品已在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t>美国啤酒世界杯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t>世界啤酒大奖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赛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t>澳洲啤酒大奖赛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以及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A3784" w:rsidRPr="008A3784">
              <w:rPr>
                <w:rFonts w:ascii="Times New Roman" w:hAnsi="Times New Roman" w:cs="Times New Roman"/>
                <w:sz w:val="24"/>
                <w:szCs w:val="24"/>
              </w:rPr>
              <w:t>国际啤酒杯</w:t>
            </w:r>
            <w:r w:rsidR="008A3784">
              <w:rPr>
                <w:rFonts w:ascii="Times New Roman" w:hAnsi="Times New Roman" w:cs="Times New Roman" w:hint="eastAsia"/>
                <w:sz w:val="24"/>
                <w:szCs w:val="24"/>
              </w:rPr>
              <w:t>一系列的</w:t>
            </w:r>
            <w:r w:rsidRPr="00E22D52">
              <w:rPr>
                <w:rFonts w:ascii="Times New Roman" w:hAnsi="Times New Roman" w:cs="Times New Roman" w:hint="eastAsia"/>
                <w:sz w:val="24"/>
                <w:szCs w:val="24"/>
              </w:rPr>
              <w:t>国际顶级赛事中斩获金奖。</w:t>
            </w:r>
          </w:p>
        </w:tc>
      </w:tr>
      <w:tr w:rsidR="003C6990" w14:paraId="5194D11F" w14:textId="77777777" w:rsidTr="00E22D52">
        <w:trPr>
          <w:trHeight w:val="548"/>
        </w:trPr>
        <w:tc>
          <w:tcPr>
            <w:tcW w:w="1838" w:type="dxa"/>
            <w:vAlign w:val="center"/>
          </w:tcPr>
          <w:p w14:paraId="0768969E" w14:textId="77777777" w:rsidR="003C6990" w:rsidRDefault="00D935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637" w:type="dxa"/>
          </w:tcPr>
          <w:p w14:paraId="5266ECBC" w14:textId="77777777" w:rsidR="003C6990" w:rsidRDefault="00D935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无</w:t>
            </w:r>
          </w:p>
        </w:tc>
      </w:tr>
      <w:tr w:rsidR="003C6990" w14:paraId="603806D6" w14:textId="77777777" w:rsidTr="00E22D52">
        <w:trPr>
          <w:trHeight w:val="546"/>
        </w:trPr>
        <w:tc>
          <w:tcPr>
            <w:tcW w:w="1838" w:type="dxa"/>
            <w:vAlign w:val="center"/>
          </w:tcPr>
          <w:p w14:paraId="55277085" w14:textId="77777777" w:rsidR="003C6990" w:rsidRDefault="00D935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关于本次活动是否涉及应披露重大信息的说明</w:t>
            </w:r>
          </w:p>
        </w:tc>
        <w:tc>
          <w:tcPr>
            <w:tcW w:w="6637" w:type="dxa"/>
          </w:tcPr>
          <w:p w14:paraId="65148B7C" w14:textId="77777777" w:rsidR="003C6990" w:rsidRDefault="00D935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否</w:t>
            </w:r>
          </w:p>
        </w:tc>
      </w:tr>
    </w:tbl>
    <w:p w14:paraId="606B2412" w14:textId="77777777" w:rsidR="003C6990" w:rsidRDefault="003C6990">
      <w:pPr>
        <w:rPr>
          <w:rFonts w:ascii="Times New Roman" w:hAnsi="Times New Roman" w:cs="Times New Roman"/>
        </w:rPr>
      </w:pPr>
    </w:p>
    <w:sectPr w:rsidR="003C6990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281A9" w14:textId="77777777" w:rsidR="00D515BC" w:rsidRDefault="00D515BC">
      <w:r>
        <w:separator/>
      </w:r>
    </w:p>
  </w:endnote>
  <w:endnote w:type="continuationSeparator" w:id="0">
    <w:p w14:paraId="26190079" w14:textId="77777777" w:rsidR="00D515BC" w:rsidRDefault="00D51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0C8988" w14:textId="77777777" w:rsidR="00D515BC" w:rsidRDefault="00D515BC">
      <w:r>
        <w:separator/>
      </w:r>
    </w:p>
  </w:footnote>
  <w:footnote w:type="continuationSeparator" w:id="0">
    <w:p w14:paraId="15868C05" w14:textId="77777777" w:rsidR="00D515BC" w:rsidRDefault="00D515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5E4D0" w14:textId="77777777" w:rsidR="003C6990" w:rsidRDefault="00D9351F">
    <w:pPr>
      <w:pStyle w:val="a4"/>
    </w:pPr>
    <w:r>
      <w:rPr>
        <w:rFonts w:ascii="Calibri" w:eastAsia="宋体" w:hAnsi="Calibri" w:cs="Times New Roman"/>
        <w:noProof/>
        <w:sz w:val="21"/>
        <w:szCs w:val="22"/>
      </w:rPr>
      <w:drawing>
        <wp:inline distT="0" distB="0" distL="0" distR="0" wp14:anchorId="2C7996A3" wp14:editId="4F94C6C7">
          <wp:extent cx="838200" cy="266700"/>
          <wp:effectExtent l="0" t="0" r="0" b="0"/>
          <wp:docPr id="1" name="图片 1" descr="说明: clip_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clip_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黑体" w:eastAsia="黑体" w:hAnsi="黑体" w:cs="Times New Roman" w:hint="eastAsia"/>
        <w:sz w:val="21"/>
        <w:szCs w:val="22"/>
      </w:rPr>
      <w:t xml:space="preserve"> </w:t>
    </w:r>
    <w:r>
      <w:rPr>
        <w:rFonts w:ascii="黑体" w:eastAsia="黑体" w:hAnsi="黑体" w:cs="Times New Roman"/>
        <w:sz w:val="21"/>
        <w:szCs w:val="22"/>
      </w:rPr>
      <w:t xml:space="preserve">         </w:t>
    </w:r>
    <w:r>
      <w:rPr>
        <w:rFonts w:ascii="黑体" w:eastAsia="黑体" w:hAnsi="黑体" w:cs="Times New Roman" w:hint="eastAsia"/>
        <w:sz w:val="21"/>
        <w:szCs w:val="22"/>
      </w:rPr>
      <w:t xml:space="preserve">   </w:t>
    </w:r>
    <w:r>
      <w:rPr>
        <w:rFonts w:ascii="黑体" w:eastAsia="黑体" w:hAnsi="黑体" w:cs="Times New Roman"/>
        <w:sz w:val="21"/>
        <w:szCs w:val="22"/>
      </w:rPr>
      <w:t xml:space="preserve"> </w:t>
    </w:r>
    <w:r>
      <w:rPr>
        <w:rFonts w:ascii="黑体" w:eastAsia="黑体" w:hAnsi="黑体" w:cs="Times New Roman" w:hint="eastAsia"/>
        <w:sz w:val="21"/>
        <w:szCs w:val="22"/>
      </w:rPr>
      <w:t xml:space="preserve">  证券代码：</w:t>
    </w:r>
    <w:r>
      <w:rPr>
        <w:rFonts w:ascii="Times New Roman" w:eastAsia="黑体" w:hAnsi="Times New Roman" w:cs="Times New Roman"/>
        <w:sz w:val="21"/>
        <w:szCs w:val="22"/>
      </w:rPr>
      <w:t>603076</w:t>
    </w:r>
    <w:r>
      <w:rPr>
        <w:rFonts w:ascii="黑体" w:eastAsia="黑体" w:hAnsi="黑体" w:cs="Times New Roman"/>
        <w:sz w:val="21"/>
        <w:szCs w:val="22"/>
      </w:rPr>
      <w:t xml:space="preserve">               </w:t>
    </w:r>
    <w:r>
      <w:rPr>
        <w:rFonts w:ascii="黑体" w:eastAsia="黑体" w:hAnsi="黑体" w:cs="Times New Roman" w:hint="eastAsia"/>
        <w:sz w:val="21"/>
        <w:szCs w:val="22"/>
      </w:rPr>
      <w:t>证券简称：乐惠国际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702929"/>
    <w:multiLevelType w:val="multilevel"/>
    <w:tmpl w:val="7C702929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3D"/>
    <w:rsid w:val="0008203D"/>
    <w:rsid w:val="000E4B2D"/>
    <w:rsid w:val="00141B48"/>
    <w:rsid w:val="001B6F6A"/>
    <w:rsid w:val="001D5CA7"/>
    <w:rsid w:val="00271CC6"/>
    <w:rsid w:val="002C7D57"/>
    <w:rsid w:val="003C6990"/>
    <w:rsid w:val="00403154"/>
    <w:rsid w:val="00405427"/>
    <w:rsid w:val="00484097"/>
    <w:rsid w:val="004B05CE"/>
    <w:rsid w:val="004C1686"/>
    <w:rsid w:val="00502124"/>
    <w:rsid w:val="005331E5"/>
    <w:rsid w:val="00544039"/>
    <w:rsid w:val="005462CC"/>
    <w:rsid w:val="005C30D5"/>
    <w:rsid w:val="005E78F5"/>
    <w:rsid w:val="00601AD7"/>
    <w:rsid w:val="007A13A0"/>
    <w:rsid w:val="007B37A7"/>
    <w:rsid w:val="00834E0E"/>
    <w:rsid w:val="00862652"/>
    <w:rsid w:val="008647E4"/>
    <w:rsid w:val="0089784F"/>
    <w:rsid w:val="008A3784"/>
    <w:rsid w:val="00A0098E"/>
    <w:rsid w:val="00A02C87"/>
    <w:rsid w:val="00AB2F86"/>
    <w:rsid w:val="00B5677C"/>
    <w:rsid w:val="00B934B8"/>
    <w:rsid w:val="00B950F1"/>
    <w:rsid w:val="00BD09E9"/>
    <w:rsid w:val="00C24885"/>
    <w:rsid w:val="00C53DE7"/>
    <w:rsid w:val="00C91FC1"/>
    <w:rsid w:val="00C9263B"/>
    <w:rsid w:val="00CB7EE8"/>
    <w:rsid w:val="00D062E9"/>
    <w:rsid w:val="00D515BC"/>
    <w:rsid w:val="00D53BF4"/>
    <w:rsid w:val="00D9351F"/>
    <w:rsid w:val="00E22D52"/>
    <w:rsid w:val="00E6282E"/>
    <w:rsid w:val="00E669B2"/>
    <w:rsid w:val="00E779AD"/>
    <w:rsid w:val="5137118B"/>
    <w:rsid w:val="679B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52A9E"/>
  <w15:docId w15:val="{AD653567-A0D7-476F-9BD0-0F3541FE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193</Words>
  <Characters>1102</Characters>
  <Application>Microsoft Office Word</Application>
  <DocSecurity>0</DocSecurity>
  <Lines>9</Lines>
  <Paragraphs>2</Paragraphs>
  <ScaleCrop>false</ScaleCrop>
  <Company>Microsoft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LH法务部</dc:creator>
  <cp:lastModifiedBy>Lenovo</cp:lastModifiedBy>
  <cp:revision>9</cp:revision>
  <dcterms:created xsi:type="dcterms:W3CDTF">2026-11-04T00:04:00Z</dcterms:created>
  <dcterms:modified xsi:type="dcterms:W3CDTF">2026-11-04T05:59:00Z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eyJoZGlkIjoiZTE1ZGE3MjRmZTYzNTIyMjhiZmY5NTM3MzExYjI5YWMiLCJ1c2VySWQiOiI2NzEwNTE2ODcifQ==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98CB982981394E70A137E9782CAE0DD4_13</vt:lpwstr>
  </property>
</Properties>
</file>