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E4AEA8">
      <w:pPr>
        <w:ind w:firstLine="240" w:firstLineChars="100"/>
        <w:rPr>
          <w:rFonts w:ascii="宋体" w:hAnsi="宋体"/>
          <w:b/>
          <w:sz w:val="24"/>
        </w:rPr>
      </w:pPr>
      <w:r>
        <w:rPr>
          <w:sz w:val="24"/>
        </w:rPr>
        <mc:AlternateContent>
          <mc:Choice Requires="wps">
            <w:drawing>
              <wp:anchor distT="0" distB="0" distL="114300" distR="114300" simplePos="0" relativeHeight="251659264" behindDoc="0" locked="0" layoutInCell="1" allowOverlap="1">
                <wp:simplePos x="0" y="0"/>
                <wp:positionH relativeFrom="column">
                  <wp:posOffset>-1141095</wp:posOffset>
                </wp:positionH>
                <wp:positionV relativeFrom="paragraph">
                  <wp:posOffset>-828040</wp:posOffset>
                </wp:positionV>
                <wp:extent cx="1905000" cy="635000"/>
                <wp:effectExtent l="0" t="0" r="0" b="0"/>
                <wp:wrapNone/>
                <wp:docPr id="2" name="DG Shape" descr="40#0#211402199604050216#高宇驰#0 0 0 0:0:0"/>
                <wp:cNvGraphicFramePr/>
                <a:graphic xmlns:a="http://schemas.openxmlformats.org/drawingml/2006/main">
                  <a:graphicData uri="http://schemas.microsoft.com/office/word/2010/wordprocessingShape">
                    <wps:wsp>
                      <wps:cNvSpPr txBox="1"/>
                      <wps:spPr>
                        <a:xfrm>
                          <a:off x="0" y="0"/>
                          <a:ext cx="1905000" cy="635000"/>
                        </a:xfrm>
                        <a:prstGeom prst="rect">
                          <a:avLst/>
                        </a:prstGeom>
                        <a:solidFill>
                          <a:schemeClr val="lt1">
                            <a:alpha val="0"/>
                          </a:schemeClr>
                        </a:solidFill>
                        <a:ln w="6350">
                          <a:noFill/>
                        </a:ln>
                      </wps:spPr>
                      <wps:style>
                        <a:lnRef idx="0">
                          <a:schemeClr val="accent1"/>
                        </a:lnRef>
                        <a:fillRef idx="0">
                          <a:schemeClr val="accent1"/>
                        </a:fillRef>
                        <a:effectRef idx="0">
                          <a:schemeClr val="accent1"/>
                        </a:effectRef>
                        <a:fontRef idx="minor">
                          <a:schemeClr val="dk1"/>
                        </a:fontRef>
                      </wps:style>
                      <wps:txbx>
                        <w:txbxContent>
                          <w:p w14:paraId="5AC5D5B7">
                            <w:pPr>
                              <w:rPr>
                                <w:rFonts w:hint="eastAsia" w:ascii="黑体" w:hAnsi="黑体" w:eastAsia="黑体" w:cs="黑体"/>
                                <w:color w:val="000000"/>
                                <w:sz w:val="32"/>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DG Shape" o:spid="_x0000_s1026" o:spt="202" alt="40#0#211402199604050216#高宇驰#0 0 0 0:0:0" type="#_x0000_t202" style="position:absolute;left:0pt;margin-left:-89.85pt;margin-top:-65.2pt;height:50pt;width:150pt;z-index:251659264;mso-width-relative:page;mso-height-relative:page;" fillcolor="#FFFFFF [3201]" filled="t" stroked="f" coordsize="21600,21600" o:gfxdata="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YQr3p2QAAAA0BAAAPAAAAAAAAAAEAIAAAACIA&#10;AABkcnMvZG93bnJldi54bWxQSwECFAAUAAAACACHTuJAt/kLA3oCAADfBAAADgAAAAAAAAABACAA&#10;AAAoAQAAZHJzL2Uyb0RvYy54bWxQSwUGAAAAAAYABgBZAQAAFAYAAAAA&#10;">
                <v:fill on="t" opacity="0f" focussize="0,0"/>
                <v:stroke on="f" weight="0.5pt"/>
                <v:imagedata o:title=""/>
                <o:lock v:ext="edit" aspectratio="f"/>
                <v:textbox>
                  <w:txbxContent>
                    <w:p w14:paraId="5AC5D5B7">
                      <w:pPr>
                        <w:rPr>
                          <w:rFonts w:hint="eastAsia" w:ascii="黑体" w:hAnsi="黑体" w:eastAsia="黑体" w:cs="黑体"/>
                          <w:color w:val="000000"/>
                          <w:sz w:val="32"/>
                          <w:lang w:eastAsia="zh-CN"/>
                        </w:rPr>
                      </w:pPr>
                    </w:p>
                  </w:txbxContent>
                </v:textbox>
              </v:shape>
            </w:pict>
          </mc:Fallback>
        </mc:AlternateContent>
      </w:r>
      <w:r>
        <w:rPr>
          <w:rFonts w:hint="eastAsia" w:ascii="宋体" w:hAnsi="宋体"/>
          <w:b/>
          <w:sz w:val="24"/>
        </w:rPr>
        <w:t>公司</w:t>
      </w:r>
      <w:r>
        <w:rPr>
          <w:rFonts w:ascii="宋体" w:hAnsi="宋体"/>
          <w:b/>
          <w:sz w:val="24"/>
        </w:rPr>
        <w:t>代码：</w:t>
      </w:r>
      <w:r>
        <w:rPr>
          <w:rFonts w:hint="eastAsia" w:ascii="宋体" w:hAnsi="宋体"/>
          <w:b/>
          <w:sz w:val="24"/>
        </w:rPr>
        <w:t>600855</w:t>
      </w:r>
      <w:r>
        <w:rPr>
          <w:rFonts w:ascii="宋体" w:hAnsi="宋体"/>
          <w:b/>
          <w:sz w:val="24"/>
        </w:rPr>
        <w:t xml:space="preserve">                                 </w:t>
      </w:r>
      <w:r>
        <w:rPr>
          <w:rFonts w:hint="eastAsia" w:ascii="宋体" w:hAnsi="宋体"/>
          <w:b/>
          <w:sz w:val="24"/>
        </w:rPr>
        <w:t>公司简称：航天长峰</w:t>
      </w:r>
    </w:p>
    <w:p w14:paraId="6061C2D0">
      <w:pPr>
        <w:rPr>
          <w:rFonts w:ascii="宋体" w:hAnsi="宋体"/>
        </w:rPr>
      </w:pPr>
    </w:p>
    <w:p w14:paraId="3946CA98">
      <w:pPr>
        <w:rPr>
          <w:rFonts w:ascii="宋体" w:hAnsi="宋体"/>
        </w:rPr>
      </w:pPr>
    </w:p>
    <w:p w14:paraId="0ECE6FF8">
      <w:pPr>
        <w:rPr>
          <w:rFonts w:ascii="宋体" w:hAnsi="宋体"/>
        </w:rPr>
      </w:pPr>
    </w:p>
    <w:p w14:paraId="4D1A0D71">
      <w:pPr>
        <w:rPr>
          <w:rFonts w:ascii="宋体" w:hAnsi="宋体"/>
        </w:rPr>
      </w:pPr>
    </w:p>
    <w:p w14:paraId="39408D31">
      <w:pPr>
        <w:rPr>
          <w:rFonts w:ascii="宋体" w:hAnsi="宋体"/>
        </w:rPr>
      </w:pPr>
    </w:p>
    <w:p w14:paraId="01E64EB2">
      <w:pPr>
        <w:rPr>
          <w:rFonts w:ascii="宋体" w:hAnsi="宋体"/>
        </w:rPr>
      </w:pPr>
    </w:p>
    <w:p w14:paraId="552651A9">
      <w:pPr>
        <w:autoSpaceDE w:val="0"/>
        <w:autoSpaceDN w:val="0"/>
        <w:adjustRightInd w:val="0"/>
        <w:spacing w:before="156" w:beforeLines="50" w:after="156" w:afterLines="50"/>
        <w:jc w:val="center"/>
        <w:rPr>
          <w:rFonts w:ascii="宋体" w:hAnsi="宋体" w:cs="黑体"/>
          <w:kern w:val="0"/>
          <w:sz w:val="48"/>
          <w:szCs w:val="48"/>
        </w:rPr>
      </w:pPr>
      <w:r>
        <w:rPr>
          <w:rFonts w:hint="eastAsia" w:ascii="宋体" w:hAnsi="宋体" w:cs="黑体"/>
          <w:kern w:val="0"/>
          <w:sz w:val="48"/>
          <w:szCs w:val="48"/>
        </w:rPr>
        <w:t>北京航天长峰股份有限公司</w:t>
      </w:r>
    </w:p>
    <w:p w14:paraId="1856D0F1">
      <w:pPr>
        <w:autoSpaceDE w:val="0"/>
        <w:autoSpaceDN w:val="0"/>
        <w:adjustRightInd w:val="0"/>
        <w:spacing w:before="156" w:beforeLines="50" w:after="156" w:afterLines="50"/>
        <w:jc w:val="center"/>
        <w:rPr>
          <w:rFonts w:ascii="宋体" w:hAnsi="宋体" w:cs="黑体"/>
          <w:kern w:val="0"/>
          <w:sz w:val="48"/>
          <w:szCs w:val="48"/>
        </w:rPr>
      </w:pPr>
      <w:r>
        <w:rPr>
          <w:rFonts w:hint="eastAsia" w:ascii="宋体" w:hAnsi="宋体" w:cs="黑体"/>
          <w:kern w:val="0"/>
          <w:sz w:val="48"/>
          <w:szCs w:val="48"/>
        </w:rPr>
        <w:t>投资者关系活动记录表</w:t>
      </w:r>
    </w:p>
    <w:p w14:paraId="2980C587">
      <w:pPr>
        <w:autoSpaceDE w:val="0"/>
        <w:autoSpaceDN w:val="0"/>
        <w:adjustRightInd w:val="0"/>
        <w:spacing w:before="156" w:beforeLines="50" w:after="156" w:afterLines="50"/>
        <w:jc w:val="center"/>
        <w:rPr>
          <w:rFonts w:hint="eastAsia" w:ascii="宋体" w:hAnsi="宋体" w:eastAsia="宋体" w:cs="黑体"/>
          <w:kern w:val="0"/>
          <w:sz w:val="28"/>
          <w:szCs w:val="28"/>
          <w:lang w:val="en-US" w:eastAsia="zh-CN"/>
        </w:rPr>
      </w:pPr>
      <w:r>
        <w:rPr>
          <w:rFonts w:hint="eastAsia" w:ascii="宋体" w:hAnsi="宋体" w:cs="黑体"/>
          <w:kern w:val="0"/>
          <w:sz w:val="28"/>
          <w:szCs w:val="28"/>
        </w:rPr>
        <w:t>编号：202</w:t>
      </w:r>
      <w:r>
        <w:rPr>
          <w:rFonts w:hint="eastAsia" w:ascii="宋体" w:hAnsi="宋体" w:cs="黑体"/>
          <w:kern w:val="0"/>
          <w:sz w:val="28"/>
          <w:szCs w:val="28"/>
          <w:lang w:val="en-US" w:eastAsia="zh-CN"/>
        </w:rPr>
        <w:t>6</w:t>
      </w:r>
      <w:r>
        <w:rPr>
          <w:rFonts w:hint="eastAsia" w:ascii="宋体" w:hAnsi="宋体" w:cs="黑体"/>
          <w:kern w:val="0"/>
          <w:sz w:val="28"/>
          <w:szCs w:val="28"/>
        </w:rPr>
        <w:t>-00</w:t>
      </w:r>
      <w:r>
        <w:rPr>
          <w:rFonts w:hint="eastAsia" w:ascii="宋体" w:hAnsi="宋体" w:cs="黑体"/>
          <w:kern w:val="0"/>
          <w:sz w:val="28"/>
          <w:szCs w:val="28"/>
          <w:lang w:val="en-US" w:eastAsia="zh-CN"/>
        </w:rPr>
        <w:t>1</w:t>
      </w:r>
    </w:p>
    <w:p w14:paraId="48840B00">
      <w:pPr>
        <w:rPr>
          <w:rFonts w:ascii="宋体" w:hAnsi="宋体"/>
        </w:rPr>
      </w:pPr>
    </w:p>
    <w:p w14:paraId="7428265F">
      <w:pPr>
        <w:rPr>
          <w:rFonts w:ascii="宋体" w:hAnsi="宋体"/>
        </w:rPr>
      </w:pPr>
    </w:p>
    <w:p w14:paraId="5419261B">
      <w:pPr>
        <w:rPr>
          <w:rFonts w:ascii="宋体" w:hAnsi="宋体"/>
        </w:rPr>
      </w:pPr>
    </w:p>
    <w:p w14:paraId="19C192CE">
      <w:pPr>
        <w:rPr>
          <w:rFonts w:ascii="宋体" w:hAnsi="宋体"/>
        </w:rPr>
      </w:pPr>
    </w:p>
    <w:p w14:paraId="41291BEE">
      <w:pPr>
        <w:rPr>
          <w:rFonts w:ascii="宋体" w:hAnsi="宋体"/>
        </w:rPr>
      </w:pPr>
    </w:p>
    <w:p w14:paraId="7DA0E413">
      <w:pPr>
        <w:jc w:val="center"/>
        <w:rPr>
          <w:rFonts w:ascii="宋体" w:hAnsi="宋体"/>
        </w:rPr>
      </w:pPr>
    </w:p>
    <w:p w14:paraId="27C4C9FF">
      <w:pPr>
        <w:autoSpaceDE w:val="0"/>
        <w:autoSpaceDN w:val="0"/>
        <w:adjustRightInd w:val="0"/>
        <w:rPr>
          <w:rFonts w:ascii="宋体" w:hAnsi="宋体" w:cs="黑体"/>
          <w:b/>
          <w:kern w:val="0"/>
          <w:sz w:val="24"/>
        </w:rPr>
      </w:pPr>
    </w:p>
    <w:p w14:paraId="06C38CD9">
      <w:pPr>
        <w:autoSpaceDE w:val="0"/>
        <w:autoSpaceDN w:val="0"/>
        <w:adjustRightInd w:val="0"/>
        <w:rPr>
          <w:rFonts w:ascii="宋体" w:hAnsi="宋体" w:cs="黑体"/>
          <w:b/>
          <w:kern w:val="0"/>
          <w:sz w:val="24"/>
        </w:rPr>
      </w:pPr>
    </w:p>
    <w:p w14:paraId="2B1B8E9D">
      <w:pPr>
        <w:autoSpaceDE w:val="0"/>
        <w:autoSpaceDN w:val="0"/>
        <w:adjustRightInd w:val="0"/>
        <w:spacing w:before="312" w:beforeLines="100"/>
        <w:jc w:val="center"/>
        <w:rPr>
          <w:rFonts w:ascii="宋体" w:hAnsi="宋体" w:cs="黑体"/>
          <w:kern w:val="0"/>
          <w:sz w:val="32"/>
          <w:szCs w:val="28"/>
        </w:rPr>
      </w:pPr>
      <w:r>
        <w:rPr>
          <w:rFonts w:ascii="宋体" w:hAnsi="宋体" w:cs="黑体"/>
          <w:kern w:val="0"/>
          <w:sz w:val="32"/>
          <w:szCs w:val="28"/>
        </w:rPr>
        <w:br w:type="page"/>
      </w:r>
      <w:r>
        <w:rPr>
          <w:rFonts w:hint="eastAsia" w:ascii="宋体" w:hAnsi="宋体" w:cs="黑体"/>
          <w:kern w:val="0"/>
          <w:sz w:val="32"/>
          <w:szCs w:val="28"/>
        </w:rPr>
        <w:t>北京航天长峰股份有限公司</w:t>
      </w:r>
    </w:p>
    <w:p w14:paraId="6324D4DC">
      <w:pPr>
        <w:autoSpaceDE w:val="0"/>
        <w:autoSpaceDN w:val="0"/>
        <w:adjustRightInd w:val="0"/>
        <w:spacing w:after="312" w:afterLines="100"/>
        <w:jc w:val="center"/>
        <w:rPr>
          <w:rFonts w:ascii="宋体" w:hAnsi="宋体" w:cs="黑体"/>
          <w:kern w:val="0"/>
          <w:sz w:val="32"/>
          <w:szCs w:val="28"/>
        </w:rPr>
      </w:pPr>
      <w:r>
        <w:rPr>
          <w:rFonts w:hint="eastAsia" w:ascii="宋体" w:hAnsi="宋体" w:cs="黑体"/>
          <w:kern w:val="0"/>
          <w:sz w:val="32"/>
          <w:szCs w:val="28"/>
        </w:rPr>
        <w:t>投资者关系活动记录表</w:t>
      </w:r>
    </w:p>
    <w:tbl>
      <w:tblPr>
        <w:tblStyle w:val="7"/>
        <w:tblW w:w="89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7"/>
        <w:gridCol w:w="6587"/>
      </w:tblGrid>
      <w:tr w14:paraId="72158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7" w:hRule="atLeast"/>
        </w:trPr>
        <w:tc>
          <w:tcPr>
            <w:tcW w:w="2377" w:type="dxa"/>
            <w:vAlign w:val="center"/>
          </w:tcPr>
          <w:p w14:paraId="510AE718">
            <w:pPr>
              <w:autoSpaceDE w:val="0"/>
              <w:autoSpaceDN w:val="0"/>
              <w:adjustRightInd w:val="0"/>
              <w:jc w:val="center"/>
              <w:rPr>
                <w:rFonts w:ascii="宋体" w:hAnsi="宋体" w:cs="宋体"/>
                <w:kern w:val="0"/>
                <w:sz w:val="24"/>
              </w:rPr>
            </w:pPr>
            <w:r>
              <w:rPr>
                <w:rFonts w:hint="eastAsia" w:ascii="宋体" w:hAnsi="宋体" w:cs="宋体"/>
                <w:kern w:val="0"/>
                <w:sz w:val="24"/>
              </w:rPr>
              <w:t>投资者关系</w:t>
            </w:r>
          </w:p>
          <w:p w14:paraId="36DF5FCC">
            <w:pPr>
              <w:autoSpaceDE w:val="0"/>
              <w:autoSpaceDN w:val="0"/>
              <w:adjustRightInd w:val="0"/>
              <w:jc w:val="center"/>
              <w:rPr>
                <w:rFonts w:ascii="宋体" w:hAnsi="宋体" w:cs="宋体"/>
                <w:kern w:val="0"/>
                <w:sz w:val="24"/>
              </w:rPr>
            </w:pPr>
            <w:r>
              <w:rPr>
                <w:rFonts w:hint="eastAsia" w:ascii="宋体" w:hAnsi="宋体" w:cs="宋体"/>
                <w:kern w:val="0"/>
                <w:sz w:val="24"/>
              </w:rPr>
              <w:t>活动类别</w:t>
            </w:r>
          </w:p>
        </w:tc>
        <w:tc>
          <w:tcPr>
            <w:tcW w:w="6587" w:type="dxa"/>
            <w:vAlign w:val="center"/>
          </w:tcPr>
          <w:p w14:paraId="0B77C86B">
            <w:pPr>
              <w:autoSpaceDE w:val="0"/>
              <w:autoSpaceDN w:val="0"/>
              <w:adjustRightInd w:val="0"/>
              <w:spacing w:after="156" w:afterLines="50"/>
              <w:rPr>
                <w:rFonts w:ascii="宋体" w:hAnsi="宋体" w:cs="宋体"/>
                <w:kern w:val="0"/>
                <w:sz w:val="24"/>
              </w:rPr>
            </w:pPr>
            <w:r>
              <w:rPr>
                <w:rFonts w:hint="eastAsia" w:ascii="宋体" w:hAnsi="宋体" w:cs="宋体"/>
                <w:kern w:val="0"/>
                <w:sz w:val="24"/>
              </w:rPr>
              <w:t xml:space="preserve">□特定对象调研  </w:t>
            </w:r>
            <w:r>
              <w:rPr>
                <w:rFonts w:ascii="宋体" w:hAnsi="宋体" w:cs="宋体"/>
                <w:kern w:val="0"/>
                <w:sz w:val="24"/>
              </w:rPr>
              <w:t xml:space="preserve"> </w:t>
            </w:r>
            <w:r>
              <w:rPr>
                <w:rFonts w:hint="eastAsia" w:ascii="宋体" w:hAnsi="宋体" w:cs="宋体"/>
                <w:kern w:val="0"/>
                <w:sz w:val="24"/>
              </w:rPr>
              <w:t xml:space="preserve">  □分析师会议</w:t>
            </w:r>
          </w:p>
          <w:p w14:paraId="088B2D0E">
            <w:pPr>
              <w:autoSpaceDE w:val="0"/>
              <w:autoSpaceDN w:val="0"/>
              <w:adjustRightInd w:val="0"/>
              <w:spacing w:after="156" w:afterLines="50"/>
              <w:rPr>
                <w:rFonts w:ascii="宋体" w:hAnsi="宋体" w:cs="宋体"/>
                <w:kern w:val="0"/>
                <w:sz w:val="24"/>
              </w:rPr>
            </w:pPr>
            <w:r>
              <w:rPr>
                <w:rFonts w:hint="eastAsia" w:ascii="宋体" w:hAnsi="宋体" w:cs="宋体"/>
                <w:kern w:val="0"/>
                <w:sz w:val="24"/>
              </w:rPr>
              <w:t>□媒体</w:t>
            </w:r>
            <w:r>
              <w:rPr>
                <w:rFonts w:ascii="宋体" w:hAnsi="宋体" w:cs="宋体"/>
                <w:kern w:val="0"/>
                <w:sz w:val="24"/>
              </w:rPr>
              <w:t xml:space="preserve">采访 </w:t>
            </w:r>
            <w:r>
              <w:rPr>
                <w:rFonts w:hint="eastAsia" w:ascii="宋体" w:hAnsi="宋体" w:cs="宋体"/>
                <w:kern w:val="0"/>
                <w:sz w:val="24"/>
              </w:rPr>
              <w:t xml:space="preserve">    </w:t>
            </w:r>
            <w:r>
              <w:rPr>
                <w:rFonts w:ascii="宋体" w:hAnsi="宋体" w:cs="宋体"/>
                <w:kern w:val="0"/>
                <w:sz w:val="24"/>
              </w:rPr>
              <w:t xml:space="preserve">    </w:t>
            </w:r>
            <w:r>
              <w:rPr>
                <w:rFonts w:hint="eastAsia" w:ascii="宋体" w:hAnsi="宋体" w:cs="宋体"/>
                <w:kern w:val="0"/>
                <w:sz w:val="24"/>
              </w:rPr>
              <w:t>□业绩说明会</w:t>
            </w:r>
            <w:r>
              <w:rPr>
                <w:rFonts w:ascii="宋体" w:hAnsi="宋体" w:cs="宋体"/>
                <w:kern w:val="0"/>
                <w:sz w:val="24"/>
              </w:rPr>
              <w:t xml:space="preserve"> </w:t>
            </w:r>
          </w:p>
          <w:p w14:paraId="5F1E5384">
            <w:pPr>
              <w:autoSpaceDE w:val="0"/>
              <w:autoSpaceDN w:val="0"/>
              <w:adjustRightInd w:val="0"/>
              <w:spacing w:after="156" w:afterLines="50"/>
              <w:rPr>
                <w:rFonts w:ascii="宋体" w:hAnsi="宋体" w:cs="宋体"/>
                <w:kern w:val="0"/>
                <w:sz w:val="24"/>
              </w:rPr>
            </w:pPr>
            <w:r>
              <w:rPr>
                <w:rFonts w:hint="eastAsia" w:ascii="宋体" w:hAnsi="宋体" w:cs="宋体"/>
                <w:kern w:val="0"/>
                <w:sz w:val="24"/>
              </w:rPr>
              <w:t>□新闻</w:t>
            </w:r>
            <w:r>
              <w:rPr>
                <w:rFonts w:ascii="宋体" w:hAnsi="宋体" w:cs="宋体"/>
                <w:kern w:val="0"/>
                <w:sz w:val="24"/>
              </w:rPr>
              <w:t>发布会</w:t>
            </w:r>
            <w:r>
              <w:rPr>
                <w:rFonts w:hint="eastAsia" w:ascii="宋体" w:hAnsi="宋体" w:cs="宋体"/>
                <w:kern w:val="0"/>
                <w:sz w:val="24"/>
              </w:rPr>
              <w:t xml:space="preserve">  </w:t>
            </w:r>
            <w:r>
              <w:rPr>
                <w:rFonts w:ascii="宋体" w:hAnsi="宋体" w:cs="宋体"/>
                <w:kern w:val="0"/>
                <w:sz w:val="24"/>
              </w:rPr>
              <w:t xml:space="preserve">     </w:t>
            </w:r>
            <w:r>
              <w:rPr>
                <w:rFonts w:hint="eastAsia" w:ascii="宋体" w:hAnsi="宋体" w:cs="宋体"/>
                <w:kern w:val="0"/>
                <w:sz w:val="24"/>
              </w:rPr>
              <w:t>□路演</w:t>
            </w:r>
            <w:r>
              <w:rPr>
                <w:rFonts w:ascii="宋体" w:hAnsi="宋体" w:cs="宋体"/>
                <w:kern w:val="0"/>
                <w:sz w:val="24"/>
              </w:rPr>
              <w:t>活动</w:t>
            </w:r>
          </w:p>
          <w:p w14:paraId="55574F59">
            <w:pPr>
              <w:autoSpaceDE w:val="0"/>
              <w:autoSpaceDN w:val="0"/>
              <w:adjustRightInd w:val="0"/>
              <w:spacing w:after="156" w:afterLines="50"/>
              <w:rPr>
                <w:rFonts w:ascii="宋体" w:hAnsi="宋体" w:cs="宋体"/>
                <w:kern w:val="0"/>
                <w:sz w:val="24"/>
              </w:rPr>
            </w:pPr>
            <w:r>
              <w:rPr>
                <w:rFonts w:hint="eastAsia" w:ascii="宋体" w:hAnsi="宋体" w:cs="宋体"/>
                <w:kern w:val="0"/>
                <w:sz w:val="24"/>
              </w:rPr>
              <w:sym w:font="Wingdings 2" w:char="0052"/>
            </w:r>
            <w:r>
              <w:rPr>
                <w:rFonts w:hint="eastAsia" w:ascii="宋体" w:hAnsi="宋体" w:cs="宋体"/>
                <w:kern w:val="0"/>
                <w:sz w:val="24"/>
              </w:rPr>
              <w:t xml:space="preserve">现场参观 </w:t>
            </w:r>
            <w:r>
              <w:rPr>
                <w:rFonts w:ascii="宋体" w:hAnsi="宋体" w:cs="宋体"/>
                <w:kern w:val="0"/>
                <w:sz w:val="24"/>
              </w:rPr>
              <w:t xml:space="preserve">        </w:t>
            </w:r>
            <w:r>
              <w:rPr>
                <w:rFonts w:hint="eastAsia" w:ascii="宋体" w:hAnsi="宋体" w:cs="宋体"/>
                <w:kern w:val="0"/>
                <w:sz w:val="24"/>
              </w:rPr>
              <w:t>□一</w:t>
            </w:r>
            <w:r>
              <w:rPr>
                <w:rFonts w:ascii="宋体" w:hAnsi="宋体" w:cs="宋体"/>
                <w:kern w:val="0"/>
                <w:sz w:val="24"/>
              </w:rPr>
              <w:t>对一沟通</w:t>
            </w:r>
          </w:p>
          <w:p w14:paraId="426F2FCD">
            <w:pPr>
              <w:autoSpaceDE w:val="0"/>
              <w:autoSpaceDN w:val="0"/>
              <w:adjustRightInd w:val="0"/>
              <w:spacing w:after="156" w:afterLines="50"/>
              <w:rPr>
                <w:rFonts w:ascii="宋体" w:hAnsi="宋体" w:cs="宋体"/>
                <w:kern w:val="0"/>
                <w:sz w:val="24"/>
              </w:rPr>
            </w:pPr>
            <w:r>
              <w:rPr>
                <w:rFonts w:hint="eastAsia" w:ascii="宋体" w:hAnsi="宋体" w:cs="宋体"/>
                <w:kern w:val="0"/>
                <w:sz w:val="24"/>
              </w:rPr>
              <w:t>□其他（电话</w:t>
            </w:r>
            <w:r>
              <w:rPr>
                <w:rFonts w:ascii="宋体" w:hAnsi="宋体" w:cs="宋体"/>
                <w:kern w:val="0"/>
                <w:sz w:val="24"/>
              </w:rPr>
              <w:t>会议</w:t>
            </w:r>
            <w:r>
              <w:rPr>
                <w:rFonts w:hint="eastAsia" w:ascii="宋体" w:hAnsi="宋体" w:cs="宋体"/>
                <w:kern w:val="0"/>
                <w:sz w:val="24"/>
              </w:rPr>
              <w:t>、网络会议）</w:t>
            </w:r>
          </w:p>
        </w:tc>
      </w:tr>
      <w:tr w14:paraId="16878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2377" w:type="dxa"/>
            <w:vAlign w:val="center"/>
          </w:tcPr>
          <w:p w14:paraId="365DC3BF">
            <w:pPr>
              <w:autoSpaceDE w:val="0"/>
              <w:autoSpaceDN w:val="0"/>
              <w:adjustRightInd w:val="0"/>
              <w:jc w:val="center"/>
              <w:rPr>
                <w:rFonts w:ascii="宋体" w:hAnsi="宋体" w:cs="宋体"/>
                <w:kern w:val="0"/>
                <w:sz w:val="24"/>
              </w:rPr>
            </w:pPr>
            <w:r>
              <w:rPr>
                <w:rFonts w:hint="eastAsia" w:ascii="宋体" w:hAnsi="宋体" w:cs="宋体"/>
                <w:kern w:val="0"/>
                <w:sz w:val="24"/>
              </w:rPr>
              <w:t>参与机构名称</w:t>
            </w:r>
          </w:p>
        </w:tc>
        <w:tc>
          <w:tcPr>
            <w:tcW w:w="6587" w:type="dxa"/>
            <w:vAlign w:val="center"/>
          </w:tcPr>
          <w:p w14:paraId="5B7B1D74">
            <w:pPr>
              <w:rPr>
                <w:rFonts w:hint="default" w:ascii="宋体" w:hAnsi="宋体" w:eastAsia="宋体" w:cs="宋体"/>
                <w:kern w:val="0"/>
                <w:sz w:val="24"/>
                <w:lang w:val="en-US" w:eastAsia="zh-CN"/>
              </w:rPr>
            </w:pPr>
            <w:r>
              <w:rPr>
                <w:rFonts w:hint="eastAsia" w:ascii="宋体" w:hAnsi="宋体" w:cs="宋体"/>
                <w:kern w:val="0"/>
                <w:sz w:val="24"/>
                <w:lang w:val="en-US" w:eastAsia="zh-CN"/>
              </w:rPr>
              <w:t>交银施罗德、光大证券</w:t>
            </w:r>
          </w:p>
        </w:tc>
      </w:tr>
      <w:tr w14:paraId="594ED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2377" w:type="dxa"/>
            <w:vAlign w:val="center"/>
          </w:tcPr>
          <w:p w14:paraId="7B372826">
            <w:pPr>
              <w:autoSpaceDE w:val="0"/>
              <w:autoSpaceDN w:val="0"/>
              <w:adjustRightInd w:val="0"/>
              <w:jc w:val="center"/>
              <w:rPr>
                <w:rFonts w:ascii="宋体" w:hAnsi="宋体" w:cs="宋体"/>
                <w:kern w:val="0"/>
                <w:sz w:val="24"/>
              </w:rPr>
            </w:pPr>
            <w:r>
              <w:rPr>
                <w:rFonts w:hint="eastAsia" w:ascii="宋体" w:hAnsi="宋体" w:cs="宋体"/>
                <w:kern w:val="0"/>
                <w:sz w:val="24"/>
              </w:rPr>
              <w:t>时间</w:t>
            </w:r>
          </w:p>
        </w:tc>
        <w:tc>
          <w:tcPr>
            <w:tcW w:w="6587" w:type="dxa"/>
            <w:vAlign w:val="center"/>
          </w:tcPr>
          <w:p w14:paraId="173B0742">
            <w:pPr>
              <w:autoSpaceDE w:val="0"/>
              <w:autoSpaceDN w:val="0"/>
              <w:adjustRightInd w:val="0"/>
              <w:spacing w:after="156" w:afterLines="50"/>
              <w:rPr>
                <w:rFonts w:ascii="宋体" w:hAnsi="宋体" w:cs="宋体"/>
                <w:kern w:val="0"/>
                <w:sz w:val="24"/>
              </w:rPr>
            </w:pPr>
            <w:r>
              <w:rPr>
                <w:rFonts w:hint="eastAsia" w:ascii="宋体" w:hAnsi="宋体" w:cs="宋体"/>
                <w:kern w:val="0"/>
                <w:sz w:val="24"/>
              </w:rPr>
              <w:t>202</w:t>
            </w:r>
            <w:r>
              <w:rPr>
                <w:rFonts w:hint="eastAsia" w:ascii="宋体" w:hAnsi="宋体" w:cs="宋体"/>
                <w:kern w:val="0"/>
                <w:sz w:val="24"/>
                <w:lang w:val="en-US" w:eastAsia="zh-CN"/>
              </w:rPr>
              <w:t>6</w:t>
            </w:r>
            <w:r>
              <w:rPr>
                <w:rFonts w:hint="eastAsia" w:ascii="宋体" w:hAnsi="宋体" w:cs="宋体"/>
                <w:kern w:val="0"/>
                <w:sz w:val="24"/>
              </w:rPr>
              <w:t>年</w:t>
            </w:r>
            <w:r>
              <w:rPr>
                <w:rFonts w:hint="eastAsia" w:ascii="宋体" w:hAnsi="宋体" w:cs="宋体"/>
                <w:kern w:val="0"/>
                <w:sz w:val="24"/>
                <w:lang w:val="en-US" w:eastAsia="zh-CN"/>
              </w:rPr>
              <w:t>11</w:t>
            </w:r>
            <w:r>
              <w:rPr>
                <w:rFonts w:hint="eastAsia" w:ascii="宋体" w:hAnsi="宋体" w:cs="宋体"/>
                <w:kern w:val="0"/>
                <w:sz w:val="24"/>
              </w:rPr>
              <w:t>月</w:t>
            </w:r>
            <w:r>
              <w:rPr>
                <w:rFonts w:hint="eastAsia" w:ascii="宋体" w:hAnsi="宋体" w:cs="宋体"/>
                <w:kern w:val="0"/>
                <w:sz w:val="24"/>
                <w:lang w:val="en-US" w:eastAsia="zh-CN"/>
              </w:rPr>
              <w:t>4</w:t>
            </w:r>
            <w:r>
              <w:rPr>
                <w:rFonts w:hint="eastAsia" w:ascii="宋体" w:hAnsi="宋体" w:cs="宋体"/>
                <w:kern w:val="0"/>
                <w:sz w:val="24"/>
              </w:rPr>
              <w:t>日</w:t>
            </w:r>
          </w:p>
        </w:tc>
      </w:tr>
      <w:tr w14:paraId="21147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2377" w:type="dxa"/>
            <w:vAlign w:val="center"/>
          </w:tcPr>
          <w:p w14:paraId="07D0FFA5">
            <w:pPr>
              <w:autoSpaceDE w:val="0"/>
              <w:autoSpaceDN w:val="0"/>
              <w:adjustRightInd w:val="0"/>
              <w:jc w:val="center"/>
              <w:rPr>
                <w:rFonts w:ascii="宋体" w:hAnsi="宋体" w:cs="宋体"/>
                <w:kern w:val="0"/>
                <w:sz w:val="24"/>
              </w:rPr>
            </w:pPr>
            <w:r>
              <w:rPr>
                <w:rFonts w:hint="eastAsia" w:ascii="宋体" w:hAnsi="宋体" w:cs="宋体"/>
                <w:kern w:val="0"/>
                <w:sz w:val="24"/>
              </w:rPr>
              <w:t>地点</w:t>
            </w:r>
          </w:p>
        </w:tc>
        <w:tc>
          <w:tcPr>
            <w:tcW w:w="6587" w:type="dxa"/>
            <w:vAlign w:val="center"/>
          </w:tcPr>
          <w:p w14:paraId="5D859E90">
            <w:pPr>
              <w:autoSpaceDE w:val="0"/>
              <w:autoSpaceDN w:val="0"/>
              <w:adjustRightInd w:val="0"/>
              <w:rPr>
                <w:rFonts w:ascii="宋体" w:hAnsi="宋体" w:cs="宋体"/>
                <w:kern w:val="0"/>
                <w:sz w:val="24"/>
              </w:rPr>
            </w:pPr>
            <w:r>
              <w:rPr>
                <w:rFonts w:hint="eastAsia" w:ascii="宋体" w:hAnsi="宋体" w:cs="宋体"/>
                <w:kern w:val="0"/>
                <w:sz w:val="24"/>
              </w:rPr>
              <w:t>北京市海淀区永定路甲51号航天长峰大楼</w:t>
            </w:r>
          </w:p>
        </w:tc>
      </w:tr>
      <w:tr w14:paraId="45761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4" w:hRule="atLeast"/>
        </w:trPr>
        <w:tc>
          <w:tcPr>
            <w:tcW w:w="2377" w:type="dxa"/>
            <w:vAlign w:val="center"/>
          </w:tcPr>
          <w:p w14:paraId="5B76EFD7">
            <w:pPr>
              <w:autoSpaceDE w:val="0"/>
              <w:autoSpaceDN w:val="0"/>
              <w:adjustRightInd w:val="0"/>
              <w:jc w:val="center"/>
              <w:rPr>
                <w:rFonts w:ascii="宋体" w:hAnsi="宋体" w:cs="宋体"/>
                <w:kern w:val="0"/>
                <w:sz w:val="24"/>
              </w:rPr>
            </w:pPr>
            <w:r>
              <w:rPr>
                <w:rFonts w:hint="eastAsia" w:ascii="宋体" w:hAnsi="宋体" w:cs="宋体"/>
                <w:kern w:val="0"/>
                <w:sz w:val="24"/>
              </w:rPr>
              <w:t>公司接待</w:t>
            </w:r>
          </w:p>
          <w:p w14:paraId="78A421EA">
            <w:pPr>
              <w:autoSpaceDE w:val="0"/>
              <w:autoSpaceDN w:val="0"/>
              <w:adjustRightInd w:val="0"/>
              <w:jc w:val="center"/>
              <w:rPr>
                <w:rFonts w:ascii="宋体" w:hAnsi="宋体" w:cs="宋体"/>
                <w:kern w:val="0"/>
                <w:sz w:val="24"/>
              </w:rPr>
            </w:pPr>
            <w:r>
              <w:rPr>
                <w:rFonts w:hint="eastAsia" w:ascii="宋体" w:hAnsi="宋体" w:cs="宋体"/>
                <w:kern w:val="0"/>
                <w:sz w:val="24"/>
              </w:rPr>
              <w:t>人员姓名</w:t>
            </w:r>
          </w:p>
        </w:tc>
        <w:tc>
          <w:tcPr>
            <w:tcW w:w="6587" w:type="dxa"/>
            <w:vAlign w:val="center"/>
          </w:tcPr>
          <w:p w14:paraId="2ACCC7D1">
            <w:pPr>
              <w:autoSpaceDE w:val="0"/>
              <w:autoSpaceDN w:val="0"/>
              <w:adjustRightInd w:val="0"/>
              <w:rPr>
                <w:rFonts w:hint="default" w:ascii="宋体" w:hAnsi="宋体" w:eastAsia="宋体" w:cs="宋体"/>
                <w:kern w:val="0"/>
                <w:sz w:val="24"/>
                <w:lang w:val="en-US" w:eastAsia="zh-CN"/>
              </w:rPr>
            </w:pPr>
            <w:r>
              <w:rPr>
                <w:rFonts w:hint="eastAsia" w:ascii="宋体" w:hAnsi="宋体" w:cs="宋体"/>
                <w:kern w:val="0"/>
                <w:sz w:val="24"/>
              </w:rPr>
              <w:t>航天长峰董事会秘书：</w:t>
            </w:r>
            <w:r>
              <w:rPr>
                <w:rFonts w:hint="eastAsia" w:ascii="宋体" w:hAnsi="宋体" w:cs="宋体"/>
                <w:kern w:val="0"/>
                <w:sz w:val="24"/>
                <w:lang w:val="en-US" w:eastAsia="zh-CN"/>
              </w:rPr>
              <w:t>王艳彬</w:t>
            </w:r>
          </w:p>
          <w:p w14:paraId="62F94C90">
            <w:pPr>
              <w:autoSpaceDE w:val="0"/>
              <w:autoSpaceDN w:val="0"/>
              <w:adjustRightInd w:val="0"/>
              <w:rPr>
                <w:rFonts w:ascii="宋体" w:hAnsi="宋体" w:cs="宋体"/>
                <w:kern w:val="0"/>
                <w:sz w:val="24"/>
              </w:rPr>
            </w:pPr>
            <w:r>
              <w:rPr>
                <w:rFonts w:hint="eastAsia" w:ascii="宋体" w:hAnsi="宋体" w:cs="宋体"/>
                <w:kern w:val="0"/>
                <w:sz w:val="24"/>
              </w:rPr>
              <w:t>航天长峰</w:t>
            </w:r>
            <w:r>
              <w:rPr>
                <w:rFonts w:hint="eastAsia" w:ascii="宋体" w:hAnsi="宋体" w:cs="宋体"/>
                <w:kern w:val="0"/>
                <w:sz w:val="24"/>
                <w:lang w:eastAsia="zh-CN"/>
              </w:rPr>
              <w:t>证券事务</w:t>
            </w:r>
            <w:r>
              <w:rPr>
                <w:rFonts w:hint="eastAsia" w:ascii="宋体" w:hAnsi="宋体" w:cs="宋体"/>
                <w:kern w:val="0"/>
                <w:sz w:val="24"/>
              </w:rPr>
              <w:t>部部长（证代）：童伟</w:t>
            </w:r>
          </w:p>
          <w:p w14:paraId="5A66149C">
            <w:pPr>
              <w:autoSpaceDE w:val="0"/>
              <w:autoSpaceDN w:val="0"/>
              <w:adjustRightInd w:val="0"/>
              <w:rPr>
                <w:rFonts w:ascii="宋体" w:hAnsi="宋体" w:cs="宋体"/>
                <w:kern w:val="0"/>
                <w:sz w:val="24"/>
              </w:rPr>
            </w:pPr>
          </w:p>
        </w:tc>
      </w:tr>
    </w:tbl>
    <w:p w14:paraId="5D848585">
      <w:pPr>
        <w:autoSpaceDE w:val="0"/>
        <w:autoSpaceDN w:val="0"/>
        <w:adjustRightInd w:val="0"/>
        <w:rPr>
          <w:rFonts w:ascii="宋体" w:hAnsi="宋体" w:cs="宋体"/>
          <w:kern w:val="0"/>
          <w:sz w:val="24"/>
        </w:rPr>
      </w:pPr>
      <w:r>
        <w:rPr>
          <w:rFonts w:hint="eastAsia" w:ascii="宋体" w:hAnsi="宋体" w:cs="宋体"/>
          <w:kern w:val="0"/>
          <w:sz w:val="24"/>
        </w:rPr>
        <w:br w:type="page"/>
      </w:r>
    </w:p>
    <w:tbl>
      <w:tblPr>
        <w:tblStyle w:val="7"/>
        <w:tblW w:w="8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5"/>
        <w:gridCol w:w="6584"/>
      </w:tblGrid>
      <w:tr w14:paraId="6AC4F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0" w:hRule="atLeast"/>
        </w:trPr>
        <w:tc>
          <w:tcPr>
            <w:tcW w:w="2375" w:type="dxa"/>
            <w:vAlign w:val="center"/>
          </w:tcPr>
          <w:p w14:paraId="7833AA55">
            <w:pPr>
              <w:autoSpaceDE w:val="0"/>
              <w:autoSpaceDN w:val="0"/>
              <w:adjustRightInd w:val="0"/>
              <w:rPr>
                <w:rFonts w:ascii="宋体" w:hAnsi="宋体" w:cs="宋体"/>
                <w:kern w:val="0"/>
                <w:sz w:val="24"/>
              </w:rPr>
            </w:pPr>
          </w:p>
          <w:p w14:paraId="440950E5">
            <w:pPr>
              <w:autoSpaceDE w:val="0"/>
              <w:autoSpaceDN w:val="0"/>
              <w:adjustRightInd w:val="0"/>
              <w:jc w:val="center"/>
              <w:rPr>
                <w:rFonts w:ascii="宋体" w:hAnsi="宋体" w:cs="宋体"/>
                <w:kern w:val="0"/>
                <w:sz w:val="24"/>
              </w:rPr>
            </w:pPr>
          </w:p>
          <w:p w14:paraId="3AE433D6">
            <w:pPr>
              <w:autoSpaceDE w:val="0"/>
              <w:autoSpaceDN w:val="0"/>
              <w:adjustRightInd w:val="0"/>
              <w:jc w:val="center"/>
              <w:rPr>
                <w:rFonts w:ascii="宋体" w:hAnsi="宋体" w:cs="宋体"/>
                <w:kern w:val="0"/>
                <w:sz w:val="24"/>
              </w:rPr>
            </w:pPr>
          </w:p>
          <w:p w14:paraId="203C40CD">
            <w:pPr>
              <w:autoSpaceDE w:val="0"/>
              <w:autoSpaceDN w:val="0"/>
              <w:adjustRightInd w:val="0"/>
              <w:jc w:val="center"/>
              <w:rPr>
                <w:rFonts w:ascii="宋体" w:hAnsi="宋体" w:cs="宋体"/>
                <w:kern w:val="0"/>
                <w:sz w:val="24"/>
              </w:rPr>
            </w:pPr>
          </w:p>
          <w:p w14:paraId="015FCCDB">
            <w:pPr>
              <w:autoSpaceDE w:val="0"/>
              <w:autoSpaceDN w:val="0"/>
              <w:adjustRightInd w:val="0"/>
              <w:jc w:val="center"/>
              <w:rPr>
                <w:rFonts w:ascii="宋体" w:hAnsi="宋体" w:cs="宋体"/>
                <w:kern w:val="0"/>
                <w:sz w:val="24"/>
              </w:rPr>
            </w:pPr>
          </w:p>
          <w:p w14:paraId="5E31FD35">
            <w:pPr>
              <w:autoSpaceDE w:val="0"/>
              <w:autoSpaceDN w:val="0"/>
              <w:adjustRightInd w:val="0"/>
              <w:jc w:val="center"/>
              <w:rPr>
                <w:rFonts w:ascii="宋体" w:hAnsi="宋体" w:cs="宋体"/>
                <w:kern w:val="0"/>
                <w:sz w:val="24"/>
              </w:rPr>
            </w:pPr>
          </w:p>
          <w:p w14:paraId="2A20C34A">
            <w:pPr>
              <w:autoSpaceDE w:val="0"/>
              <w:autoSpaceDN w:val="0"/>
              <w:adjustRightInd w:val="0"/>
              <w:jc w:val="center"/>
              <w:rPr>
                <w:rFonts w:ascii="宋体" w:hAnsi="宋体" w:cs="宋体"/>
                <w:kern w:val="0"/>
                <w:sz w:val="24"/>
              </w:rPr>
            </w:pPr>
          </w:p>
          <w:p w14:paraId="40794496">
            <w:pPr>
              <w:autoSpaceDE w:val="0"/>
              <w:autoSpaceDN w:val="0"/>
              <w:adjustRightInd w:val="0"/>
              <w:jc w:val="center"/>
              <w:rPr>
                <w:rFonts w:ascii="宋体" w:hAnsi="宋体" w:cs="宋体"/>
                <w:kern w:val="0"/>
                <w:sz w:val="24"/>
              </w:rPr>
            </w:pPr>
          </w:p>
          <w:p w14:paraId="59C628AE">
            <w:pPr>
              <w:autoSpaceDE w:val="0"/>
              <w:autoSpaceDN w:val="0"/>
              <w:adjustRightInd w:val="0"/>
              <w:jc w:val="center"/>
              <w:rPr>
                <w:rFonts w:ascii="宋体" w:hAnsi="宋体" w:cs="宋体"/>
                <w:kern w:val="0"/>
                <w:sz w:val="24"/>
              </w:rPr>
            </w:pPr>
          </w:p>
          <w:p w14:paraId="1EB081A3">
            <w:pPr>
              <w:autoSpaceDE w:val="0"/>
              <w:autoSpaceDN w:val="0"/>
              <w:adjustRightInd w:val="0"/>
              <w:jc w:val="center"/>
              <w:rPr>
                <w:rFonts w:ascii="宋体" w:hAnsi="宋体" w:cs="宋体"/>
                <w:kern w:val="0"/>
                <w:sz w:val="24"/>
              </w:rPr>
            </w:pPr>
          </w:p>
          <w:p w14:paraId="4161E1CA">
            <w:pPr>
              <w:autoSpaceDE w:val="0"/>
              <w:autoSpaceDN w:val="0"/>
              <w:adjustRightInd w:val="0"/>
              <w:jc w:val="center"/>
              <w:rPr>
                <w:rFonts w:ascii="宋体" w:hAnsi="宋体" w:cs="宋体"/>
                <w:kern w:val="0"/>
                <w:sz w:val="24"/>
              </w:rPr>
            </w:pPr>
          </w:p>
          <w:p w14:paraId="2D03D0FE">
            <w:pPr>
              <w:autoSpaceDE w:val="0"/>
              <w:autoSpaceDN w:val="0"/>
              <w:adjustRightInd w:val="0"/>
              <w:jc w:val="center"/>
              <w:rPr>
                <w:rFonts w:ascii="宋体" w:hAnsi="宋体" w:cs="宋体"/>
                <w:kern w:val="0"/>
                <w:sz w:val="24"/>
              </w:rPr>
            </w:pPr>
          </w:p>
          <w:p w14:paraId="616828FF">
            <w:pPr>
              <w:autoSpaceDE w:val="0"/>
              <w:autoSpaceDN w:val="0"/>
              <w:adjustRightInd w:val="0"/>
              <w:jc w:val="center"/>
              <w:rPr>
                <w:rFonts w:ascii="宋体" w:hAnsi="宋体" w:cs="宋体"/>
                <w:kern w:val="0"/>
                <w:sz w:val="24"/>
              </w:rPr>
            </w:pPr>
          </w:p>
          <w:p w14:paraId="2C36BCC6">
            <w:pPr>
              <w:autoSpaceDE w:val="0"/>
              <w:autoSpaceDN w:val="0"/>
              <w:adjustRightInd w:val="0"/>
              <w:jc w:val="center"/>
              <w:rPr>
                <w:rFonts w:ascii="宋体" w:hAnsi="宋体" w:cs="宋体"/>
                <w:kern w:val="0"/>
                <w:sz w:val="24"/>
              </w:rPr>
            </w:pPr>
          </w:p>
          <w:p w14:paraId="240034A9">
            <w:pPr>
              <w:autoSpaceDE w:val="0"/>
              <w:autoSpaceDN w:val="0"/>
              <w:adjustRightInd w:val="0"/>
              <w:jc w:val="center"/>
              <w:rPr>
                <w:rFonts w:ascii="宋体" w:hAnsi="宋体" w:cs="宋体"/>
                <w:kern w:val="0"/>
                <w:sz w:val="24"/>
              </w:rPr>
            </w:pPr>
          </w:p>
          <w:p w14:paraId="65EBEEF7">
            <w:pPr>
              <w:autoSpaceDE w:val="0"/>
              <w:autoSpaceDN w:val="0"/>
              <w:adjustRightInd w:val="0"/>
              <w:jc w:val="center"/>
              <w:rPr>
                <w:rFonts w:ascii="宋体" w:hAnsi="宋体" w:cs="宋体"/>
                <w:kern w:val="0"/>
                <w:sz w:val="24"/>
              </w:rPr>
            </w:pPr>
          </w:p>
          <w:p w14:paraId="74B54911">
            <w:pPr>
              <w:autoSpaceDE w:val="0"/>
              <w:autoSpaceDN w:val="0"/>
              <w:adjustRightInd w:val="0"/>
              <w:jc w:val="center"/>
              <w:rPr>
                <w:rFonts w:ascii="宋体" w:hAnsi="宋体" w:cs="宋体"/>
                <w:kern w:val="0"/>
                <w:sz w:val="24"/>
              </w:rPr>
            </w:pPr>
          </w:p>
          <w:p w14:paraId="13104BEB">
            <w:pPr>
              <w:autoSpaceDE w:val="0"/>
              <w:autoSpaceDN w:val="0"/>
              <w:adjustRightInd w:val="0"/>
              <w:jc w:val="center"/>
              <w:rPr>
                <w:rFonts w:ascii="宋体" w:hAnsi="宋体" w:cs="宋体"/>
                <w:kern w:val="0"/>
                <w:sz w:val="24"/>
              </w:rPr>
            </w:pPr>
          </w:p>
          <w:p w14:paraId="608E096A">
            <w:pPr>
              <w:autoSpaceDE w:val="0"/>
              <w:autoSpaceDN w:val="0"/>
              <w:adjustRightInd w:val="0"/>
              <w:jc w:val="center"/>
              <w:rPr>
                <w:rFonts w:ascii="宋体" w:hAnsi="宋体" w:cs="宋体"/>
                <w:kern w:val="0"/>
                <w:sz w:val="24"/>
              </w:rPr>
            </w:pPr>
          </w:p>
          <w:p w14:paraId="57F3AA16">
            <w:pPr>
              <w:autoSpaceDE w:val="0"/>
              <w:autoSpaceDN w:val="0"/>
              <w:adjustRightInd w:val="0"/>
              <w:jc w:val="center"/>
              <w:rPr>
                <w:rFonts w:ascii="宋体" w:hAnsi="宋体" w:cs="宋体"/>
                <w:kern w:val="0"/>
                <w:sz w:val="24"/>
              </w:rPr>
            </w:pPr>
            <w:r>
              <w:rPr>
                <w:rFonts w:hint="eastAsia" w:ascii="宋体" w:hAnsi="宋体" w:cs="宋体"/>
                <w:kern w:val="0"/>
                <w:sz w:val="24"/>
              </w:rPr>
              <w:t>投资者关系活动</w:t>
            </w:r>
          </w:p>
          <w:p w14:paraId="376935D6">
            <w:pPr>
              <w:autoSpaceDE w:val="0"/>
              <w:autoSpaceDN w:val="0"/>
              <w:adjustRightInd w:val="0"/>
              <w:jc w:val="center"/>
              <w:rPr>
                <w:rFonts w:ascii="宋体" w:hAnsi="宋体" w:cs="宋体"/>
                <w:kern w:val="0"/>
                <w:sz w:val="24"/>
              </w:rPr>
            </w:pPr>
            <w:r>
              <w:rPr>
                <w:rFonts w:hint="eastAsia" w:ascii="宋体" w:hAnsi="宋体" w:cs="宋体"/>
                <w:kern w:val="0"/>
                <w:sz w:val="24"/>
              </w:rPr>
              <w:t>主要内容介绍</w:t>
            </w:r>
          </w:p>
          <w:p w14:paraId="218C8F0B">
            <w:pPr>
              <w:autoSpaceDE w:val="0"/>
              <w:autoSpaceDN w:val="0"/>
              <w:adjustRightInd w:val="0"/>
              <w:jc w:val="center"/>
              <w:rPr>
                <w:rFonts w:ascii="宋体" w:hAnsi="宋体" w:cs="宋体"/>
                <w:kern w:val="0"/>
                <w:sz w:val="24"/>
              </w:rPr>
            </w:pPr>
          </w:p>
          <w:p w14:paraId="24A6E98E">
            <w:pPr>
              <w:autoSpaceDE w:val="0"/>
              <w:autoSpaceDN w:val="0"/>
              <w:adjustRightInd w:val="0"/>
              <w:jc w:val="center"/>
              <w:rPr>
                <w:rFonts w:ascii="宋体" w:hAnsi="宋体" w:cs="宋体"/>
                <w:kern w:val="0"/>
                <w:sz w:val="24"/>
              </w:rPr>
            </w:pPr>
          </w:p>
          <w:p w14:paraId="2F4EDC57">
            <w:pPr>
              <w:autoSpaceDE w:val="0"/>
              <w:autoSpaceDN w:val="0"/>
              <w:adjustRightInd w:val="0"/>
              <w:jc w:val="center"/>
              <w:rPr>
                <w:rFonts w:ascii="宋体" w:hAnsi="宋体" w:cs="宋体"/>
                <w:kern w:val="0"/>
                <w:sz w:val="24"/>
              </w:rPr>
            </w:pPr>
          </w:p>
          <w:p w14:paraId="59030021">
            <w:pPr>
              <w:autoSpaceDE w:val="0"/>
              <w:autoSpaceDN w:val="0"/>
              <w:adjustRightInd w:val="0"/>
              <w:jc w:val="center"/>
              <w:rPr>
                <w:rFonts w:ascii="宋体" w:hAnsi="宋体" w:cs="宋体"/>
                <w:kern w:val="0"/>
                <w:sz w:val="24"/>
              </w:rPr>
            </w:pPr>
          </w:p>
          <w:p w14:paraId="44ADE935">
            <w:pPr>
              <w:autoSpaceDE w:val="0"/>
              <w:autoSpaceDN w:val="0"/>
              <w:adjustRightInd w:val="0"/>
              <w:jc w:val="center"/>
              <w:rPr>
                <w:rFonts w:ascii="宋体" w:hAnsi="宋体" w:cs="宋体"/>
                <w:kern w:val="0"/>
                <w:sz w:val="24"/>
              </w:rPr>
            </w:pPr>
          </w:p>
          <w:p w14:paraId="3667769F">
            <w:pPr>
              <w:autoSpaceDE w:val="0"/>
              <w:autoSpaceDN w:val="0"/>
              <w:adjustRightInd w:val="0"/>
              <w:jc w:val="center"/>
              <w:rPr>
                <w:rFonts w:ascii="宋体" w:hAnsi="宋体" w:cs="宋体"/>
                <w:kern w:val="0"/>
                <w:sz w:val="24"/>
              </w:rPr>
            </w:pPr>
          </w:p>
          <w:p w14:paraId="30B63B53">
            <w:pPr>
              <w:autoSpaceDE w:val="0"/>
              <w:autoSpaceDN w:val="0"/>
              <w:adjustRightInd w:val="0"/>
              <w:jc w:val="center"/>
              <w:rPr>
                <w:rFonts w:ascii="宋体" w:hAnsi="宋体" w:cs="宋体"/>
                <w:kern w:val="0"/>
                <w:sz w:val="24"/>
              </w:rPr>
            </w:pPr>
          </w:p>
          <w:p w14:paraId="0B6E8272">
            <w:pPr>
              <w:autoSpaceDE w:val="0"/>
              <w:autoSpaceDN w:val="0"/>
              <w:adjustRightInd w:val="0"/>
              <w:jc w:val="center"/>
              <w:rPr>
                <w:rFonts w:ascii="宋体" w:hAnsi="宋体" w:cs="宋体"/>
                <w:kern w:val="0"/>
                <w:sz w:val="24"/>
              </w:rPr>
            </w:pPr>
          </w:p>
          <w:p w14:paraId="27F52774">
            <w:pPr>
              <w:autoSpaceDE w:val="0"/>
              <w:autoSpaceDN w:val="0"/>
              <w:adjustRightInd w:val="0"/>
              <w:jc w:val="center"/>
              <w:rPr>
                <w:rFonts w:ascii="宋体" w:hAnsi="宋体" w:cs="宋体"/>
                <w:kern w:val="0"/>
                <w:sz w:val="24"/>
              </w:rPr>
            </w:pPr>
          </w:p>
          <w:p w14:paraId="2F377C20">
            <w:pPr>
              <w:autoSpaceDE w:val="0"/>
              <w:autoSpaceDN w:val="0"/>
              <w:adjustRightInd w:val="0"/>
              <w:jc w:val="center"/>
              <w:rPr>
                <w:rFonts w:ascii="宋体" w:hAnsi="宋体" w:cs="宋体"/>
                <w:kern w:val="0"/>
                <w:sz w:val="24"/>
              </w:rPr>
            </w:pPr>
          </w:p>
          <w:p w14:paraId="1B9312BE">
            <w:pPr>
              <w:autoSpaceDE w:val="0"/>
              <w:autoSpaceDN w:val="0"/>
              <w:adjustRightInd w:val="0"/>
              <w:jc w:val="center"/>
              <w:rPr>
                <w:rFonts w:ascii="宋体" w:hAnsi="宋体" w:cs="宋体"/>
                <w:kern w:val="0"/>
                <w:sz w:val="24"/>
              </w:rPr>
            </w:pPr>
          </w:p>
          <w:p w14:paraId="15E2158B">
            <w:pPr>
              <w:autoSpaceDE w:val="0"/>
              <w:autoSpaceDN w:val="0"/>
              <w:adjustRightInd w:val="0"/>
              <w:jc w:val="center"/>
              <w:rPr>
                <w:rFonts w:ascii="宋体" w:hAnsi="宋体" w:cs="宋体"/>
                <w:kern w:val="0"/>
                <w:sz w:val="24"/>
              </w:rPr>
            </w:pPr>
          </w:p>
          <w:p w14:paraId="6F76225D">
            <w:pPr>
              <w:autoSpaceDE w:val="0"/>
              <w:autoSpaceDN w:val="0"/>
              <w:adjustRightInd w:val="0"/>
              <w:jc w:val="center"/>
              <w:rPr>
                <w:rFonts w:ascii="宋体" w:hAnsi="宋体" w:cs="宋体"/>
                <w:kern w:val="0"/>
                <w:sz w:val="24"/>
              </w:rPr>
            </w:pPr>
          </w:p>
          <w:p w14:paraId="35E0BD9B">
            <w:pPr>
              <w:autoSpaceDE w:val="0"/>
              <w:autoSpaceDN w:val="0"/>
              <w:adjustRightInd w:val="0"/>
              <w:jc w:val="center"/>
              <w:rPr>
                <w:rFonts w:ascii="宋体" w:hAnsi="宋体" w:cs="宋体"/>
                <w:kern w:val="0"/>
                <w:sz w:val="24"/>
              </w:rPr>
            </w:pPr>
          </w:p>
          <w:p w14:paraId="5C4B899B">
            <w:pPr>
              <w:autoSpaceDE w:val="0"/>
              <w:autoSpaceDN w:val="0"/>
              <w:adjustRightInd w:val="0"/>
              <w:jc w:val="center"/>
              <w:rPr>
                <w:rFonts w:ascii="宋体" w:hAnsi="宋体" w:cs="宋体"/>
                <w:kern w:val="0"/>
                <w:sz w:val="24"/>
              </w:rPr>
            </w:pPr>
          </w:p>
          <w:p w14:paraId="47216733">
            <w:pPr>
              <w:autoSpaceDE w:val="0"/>
              <w:autoSpaceDN w:val="0"/>
              <w:adjustRightInd w:val="0"/>
              <w:jc w:val="center"/>
              <w:rPr>
                <w:rFonts w:ascii="宋体" w:hAnsi="宋体" w:cs="宋体"/>
                <w:kern w:val="0"/>
                <w:sz w:val="24"/>
              </w:rPr>
            </w:pPr>
          </w:p>
          <w:p w14:paraId="2FB213B4">
            <w:pPr>
              <w:autoSpaceDE w:val="0"/>
              <w:autoSpaceDN w:val="0"/>
              <w:adjustRightInd w:val="0"/>
              <w:jc w:val="center"/>
              <w:rPr>
                <w:rFonts w:ascii="宋体" w:hAnsi="宋体" w:cs="宋体"/>
                <w:kern w:val="0"/>
                <w:sz w:val="24"/>
              </w:rPr>
            </w:pPr>
          </w:p>
          <w:p w14:paraId="7DC23CDE">
            <w:pPr>
              <w:autoSpaceDE w:val="0"/>
              <w:autoSpaceDN w:val="0"/>
              <w:adjustRightInd w:val="0"/>
              <w:jc w:val="center"/>
              <w:rPr>
                <w:rFonts w:ascii="宋体" w:hAnsi="宋体" w:cs="宋体"/>
                <w:kern w:val="0"/>
                <w:sz w:val="24"/>
              </w:rPr>
            </w:pPr>
          </w:p>
          <w:p w14:paraId="497DB7D2">
            <w:pPr>
              <w:autoSpaceDE w:val="0"/>
              <w:autoSpaceDN w:val="0"/>
              <w:adjustRightInd w:val="0"/>
              <w:jc w:val="center"/>
              <w:rPr>
                <w:rFonts w:ascii="宋体" w:hAnsi="宋体" w:cs="宋体"/>
                <w:kern w:val="0"/>
                <w:sz w:val="24"/>
              </w:rPr>
            </w:pPr>
          </w:p>
          <w:p w14:paraId="752CFC6F">
            <w:pPr>
              <w:autoSpaceDE w:val="0"/>
              <w:autoSpaceDN w:val="0"/>
              <w:adjustRightInd w:val="0"/>
              <w:jc w:val="center"/>
              <w:rPr>
                <w:rFonts w:ascii="宋体" w:hAnsi="宋体" w:cs="宋体"/>
                <w:kern w:val="0"/>
                <w:sz w:val="24"/>
              </w:rPr>
            </w:pPr>
          </w:p>
          <w:p w14:paraId="4A7CE0F4">
            <w:pPr>
              <w:autoSpaceDE w:val="0"/>
              <w:autoSpaceDN w:val="0"/>
              <w:adjustRightInd w:val="0"/>
              <w:jc w:val="center"/>
              <w:rPr>
                <w:rFonts w:ascii="宋体" w:hAnsi="宋体" w:cs="宋体"/>
                <w:kern w:val="0"/>
                <w:sz w:val="24"/>
              </w:rPr>
            </w:pPr>
          </w:p>
          <w:p w14:paraId="6C249223">
            <w:pPr>
              <w:autoSpaceDE w:val="0"/>
              <w:autoSpaceDN w:val="0"/>
              <w:adjustRightInd w:val="0"/>
              <w:jc w:val="center"/>
              <w:rPr>
                <w:rFonts w:ascii="宋体" w:hAnsi="宋体" w:cs="宋体"/>
                <w:kern w:val="0"/>
                <w:sz w:val="24"/>
              </w:rPr>
            </w:pPr>
          </w:p>
          <w:p w14:paraId="3522F5B7">
            <w:pPr>
              <w:autoSpaceDE w:val="0"/>
              <w:autoSpaceDN w:val="0"/>
              <w:adjustRightInd w:val="0"/>
              <w:jc w:val="center"/>
              <w:rPr>
                <w:rFonts w:ascii="宋体" w:hAnsi="宋体" w:cs="宋体"/>
                <w:kern w:val="0"/>
                <w:sz w:val="24"/>
              </w:rPr>
            </w:pPr>
          </w:p>
          <w:p w14:paraId="505E321A">
            <w:pPr>
              <w:autoSpaceDE w:val="0"/>
              <w:autoSpaceDN w:val="0"/>
              <w:adjustRightInd w:val="0"/>
              <w:jc w:val="center"/>
              <w:rPr>
                <w:rFonts w:ascii="宋体" w:hAnsi="宋体" w:cs="宋体"/>
                <w:kern w:val="0"/>
                <w:sz w:val="24"/>
              </w:rPr>
            </w:pPr>
          </w:p>
          <w:p w14:paraId="58F749E5">
            <w:pPr>
              <w:autoSpaceDE w:val="0"/>
              <w:autoSpaceDN w:val="0"/>
              <w:adjustRightInd w:val="0"/>
              <w:jc w:val="center"/>
              <w:rPr>
                <w:rFonts w:ascii="宋体" w:hAnsi="宋体" w:cs="宋体"/>
                <w:kern w:val="0"/>
                <w:sz w:val="24"/>
              </w:rPr>
            </w:pPr>
          </w:p>
          <w:p w14:paraId="55632097">
            <w:pPr>
              <w:autoSpaceDE w:val="0"/>
              <w:autoSpaceDN w:val="0"/>
              <w:adjustRightInd w:val="0"/>
              <w:jc w:val="center"/>
              <w:rPr>
                <w:rFonts w:ascii="宋体" w:hAnsi="宋体" w:cs="宋体"/>
                <w:kern w:val="0"/>
                <w:sz w:val="24"/>
              </w:rPr>
            </w:pPr>
          </w:p>
          <w:p w14:paraId="7429DA5C">
            <w:pPr>
              <w:autoSpaceDE w:val="0"/>
              <w:autoSpaceDN w:val="0"/>
              <w:adjustRightInd w:val="0"/>
              <w:jc w:val="center"/>
              <w:rPr>
                <w:rFonts w:ascii="宋体" w:hAnsi="宋体" w:cs="宋体"/>
                <w:kern w:val="0"/>
                <w:sz w:val="24"/>
              </w:rPr>
            </w:pPr>
          </w:p>
          <w:p w14:paraId="497C9ABF">
            <w:pPr>
              <w:autoSpaceDE w:val="0"/>
              <w:autoSpaceDN w:val="0"/>
              <w:adjustRightInd w:val="0"/>
              <w:jc w:val="center"/>
              <w:rPr>
                <w:rFonts w:ascii="宋体" w:hAnsi="宋体" w:cs="宋体"/>
                <w:kern w:val="0"/>
                <w:sz w:val="24"/>
              </w:rPr>
            </w:pPr>
          </w:p>
          <w:p w14:paraId="33068D5C">
            <w:pPr>
              <w:autoSpaceDE w:val="0"/>
              <w:autoSpaceDN w:val="0"/>
              <w:adjustRightInd w:val="0"/>
              <w:jc w:val="center"/>
              <w:rPr>
                <w:rFonts w:ascii="宋体" w:hAnsi="宋体" w:cs="宋体"/>
                <w:kern w:val="0"/>
                <w:sz w:val="24"/>
              </w:rPr>
            </w:pPr>
          </w:p>
          <w:p w14:paraId="7F845E0B">
            <w:pPr>
              <w:autoSpaceDE w:val="0"/>
              <w:autoSpaceDN w:val="0"/>
              <w:adjustRightInd w:val="0"/>
              <w:jc w:val="center"/>
              <w:rPr>
                <w:rFonts w:ascii="宋体" w:hAnsi="宋体" w:cs="宋体"/>
                <w:kern w:val="0"/>
                <w:sz w:val="24"/>
              </w:rPr>
            </w:pPr>
          </w:p>
          <w:p w14:paraId="63189366">
            <w:pPr>
              <w:autoSpaceDE w:val="0"/>
              <w:autoSpaceDN w:val="0"/>
              <w:adjustRightInd w:val="0"/>
              <w:jc w:val="center"/>
              <w:rPr>
                <w:rFonts w:ascii="宋体" w:hAnsi="宋体" w:cs="宋体"/>
                <w:kern w:val="0"/>
                <w:sz w:val="24"/>
              </w:rPr>
            </w:pPr>
          </w:p>
          <w:p w14:paraId="338708DE">
            <w:pPr>
              <w:autoSpaceDE w:val="0"/>
              <w:autoSpaceDN w:val="0"/>
              <w:adjustRightInd w:val="0"/>
              <w:jc w:val="center"/>
              <w:rPr>
                <w:rFonts w:ascii="宋体" w:hAnsi="宋体" w:cs="宋体"/>
                <w:kern w:val="0"/>
                <w:sz w:val="24"/>
              </w:rPr>
            </w:pPr>
          </w:p>
          <w:p w14:paraId="3BB5704B">
            <w:pPr>
              <w:autoSpaceDE w:val="0"/>
              <w:autoSpaceDN w:val="0"/>
              <w:adjustRightInd w:val="0"/>
              <w:jc w:val="center"/>
              <w:rPr>
                <w:rFonts w:ascii="宋体" w:hAnsi="宋体" w:cs="宋体"/>
                <w:kern w:val="0"/>
                <w:sz w:val="24"/>
              </w:rPr>
            </w:pPr>
          </w:p>
          <w:p w14:paraId="534FA1E9">
            <w:pPr>
              <w:autoSpaceDE w:val="0"/>
              <w:autoSpaceDN w:val="0"/>
              <w:adjustRightInd w:val="0"/>
              <w:jc w:val="center"/>
              <w:rPr>
                <w:rFonts w:ascii="宋体" w:hAnsi="宋体" w:cs="宋体"/>
                <w:kern w:val="0"/>
                <w:sz w:val="24"/>
              </w:rPr>
            </w:pPr>
          </w:p>
          <w:p w14:paraId="21906519">
            <w:pPr>
              <w:autoSpaceDE w:val="0"/>
              <w:autoSpaceDN w:val="0"/>
              <w:adjustRightInd w:val="0"/>
              <w:jc w:val="center"/>
              <w:rPr>
                <w:rFonts w:ascii="宋体" w:hAnsi="宋体" w:cs="宋体"/>
                <w:kern w:val="0"/>
                <w:sz w:val="24"/>
              </w:rPr>
            </w:pPr>
          </w:p>
          <w:p w14:paraId="195C4CC2">
            <w:pPr>
              <w:autoSpaceDE w:val="0"/>
              <w:autoSpaceDN w:val="0"/>
              <w:adjustRightInd w:val="0"/>
              <w:jc w:val="center"/>
              <w:rPr>
                <w:rFonts w:ascii="宋体" w:hAnsi="宋体" w:cs="宋体"/>
                <w:kern w:val="0"/>
                <w:sz w:val="24"/>
              </w:rPr>
            </w:pPr>
          </w:p>
          <w:p w14:paraId="0E5C9E03">
            <w:pPr>
              <w:autoSpaceDE w:val="0"/>
              <w:autoSpaceDN w:val="0"/>
              <w:adjustRightInd w:val="0"/>
              <w:jc w:val="center"/>
              <w:rPr>
                <w:rFonts w:ascii="宋体" w:hAnsi="宋体" w:cs="宋体"/>
                <w:kern w:val="0"/>
                <w:sz w:val="24"/>
              </w:rPr>
            </w:pPr>
          </w:p>
          <w:p w14:paraId="2EE0121D">
            <w:pPr>
              <w:autoSpaceDE w:val="0"/>
              <w:autoSpaceDN w:val="0"/>
              <w:adjustRightInd w:val="0"/>
              <w:jc w:val="center"/>
              <w:rPr>
                <w:rFonts w:ascii="宋体" w:hAnsi="宋体" w:cs="宋体"/>
                <w:kern w:val="0"/>
                <w:sz w:val="24"/>
              </w:rPr>
            </w:pPr>
          </w:p>
          <w:p w14:paraId="02CDAEC1">
            <w:pPr>
              <w:autoSpaceDE w:val="0"/>
              <w:autoSpaceDN w:val="0"/>
              <w:adjustRightInd w:val="0"/>
              <w:jc w:val="center"/>
              <w:rPr>
                <w:rFonts w:ascii="宋体" w:hAnsi="宋体" w:cs="宋体"/>
                <w:kern w:val="0"/>
                <w:sz w:val="24"/>
              </w:rPr>
            </w:pPr>
          </w:p>
          <w:p w14:paraId="1A46CB26">
            <w:pPr>
              <w:autoSpaceDE w:val="0"/>
              <w:autoSpaceDN w:val="0"/>
              <w:adjustRightInd w:val="0"/>
              <w:jc w:val="center"/>
              <w:rPr>
                <w:rFonts w:ascii="宋体" w:hAnsi="宋体" w:cs="宋体"/>
                <w:kern w:val="0"/>
                <w:sz w:val="24"/>
              </w:rPr>
            </w:pPr>
          </w:p>
          <w:p w14:paraId="0359A1DA">
            <w:pPr>
              <w:autoSpaceDE w:val="0"/>
              <w:autoSpaceDN w:val="0"/>
              <w:adjustRightInd w:val="0"/>
              <w:jc w:val="center"/>
              <w:rPr>
                <w:rFonts w:ascii="宋体" w:hAnsi="宋体" w:cs="宋体"/>
                <w:kern w:val="0"/>
                <w:sz w:val="24"/>
              </w:rPr>
            </w:pPr>
          </w:p>
          <w:p w14:paraId="3A078896">
            <w:pPr>
              <w:autoSpaceDE w:val="0"/>
              <w:autoSpaceDN w:val="0"/>
              <w:adjustRightInd w:val="0"/>
              <w:jc w:val="center"/>
              <w:rPr>
                <w:rFonts w:ascii="宋体" w:hAnsi="宋体" w:cs="宋体"/>
                <w:kern w:val="0"/>
                <w:sz w:val="24"/>
              </w:rPr>
            </w:pPr>
          </w:p>
          <w:p w14:paraId="4207CC4D">
            <w:pPr>
              <w:autoSpaceDE w:val="0"/>
              <w:autoSpaceDN w:val="0"/>
              <w:adjustRightInd w:val="0"/>
              <w:jc w:val="center"/>
              <w:rPr>
                <w:rFonts w:ascii="宋体" w:hAnsi="宋体" w:cs="宋体"/>
                <w:kern w:val="0"/>
                <w:sz w:val="24"/>
              </w:rPr>
            </w:pPr>
          </w:p>
          <w:p w14:paraId="1B554552">
            <w:pPr>
              <w:autoSpaceDE w:val="0"/>
              <w:autoSpaceDN w:val="0"/>
              <w:adjustRightInd w:val="0"/>
              <w:jc w:val="center"/>
              <w:rPr>
                <w:rFonts w:ascii="宋体" w:hAnsi="宋体" w:cs="宋体"/>
                <w:kern w:val="0"/>
                <w:sz w:val="24"/>
              </w:rPr>
            </w:pPr>
          </w:p>
          <w:p w14:paraId="2521BDA0">
            <w:pPr>
              <w:autoSpaceDE w:val="0"/>
              <w:autoSpaceDN w:val="0"/>
              <w:adjustRightInd w:val="0"/>
              <w:jc w:val="center"/>
              <w:rPr>
                <w:rFonts w:ascii="宋体" w:hAnsi="宋体" w:cs="宋体"/>
                <w:kern w:val="0"/>
                <w:sz w:val="24"/>
              </w:rPr>
            </w:pPr>
            <w:r>
              <w:rPr>
                <w:rFonts w:hint="eastAsia" w:ascii="宋体" w:hAnsi="宋体" w:cs="宋体"/>
                <w:kern w:val="0"/>
                <w:sz w:val="24"/>
              </w:rPr>
              <w:t>投资者关系活动</w:t>
            </w:r>
          </w:p>
          <w:p w14:paraId="29F65999">
            <w:pPr>
              <w:autoSpaceDE w:val="0"/>
              <w:autoSpaceDN w:val="0"/>
              <w:adjustRightInd w:val="0"/>
              <w:jc w:val="center"/>
              <w:rPr>
                <w:rFonts w:ascii="宋体" w:hAnsi="宋体" w:cs="宋体"/>
                <w:kern w:val="0"/>
                <w:sz w:val="24"/>
              </w:rPr>
            </w:pPr>
            <w:r>
              <w:rPr>
                <w:rFonts w:hint="eastAsia" w:ascii="宋体" w:hAnsi="宋体" w:cs="宋体"/>
                <w:kern w:val="0"/>
                <w:sz w:val="24"/>
              </w:rPr>
              <w:t>主要内容介绍</w:t>
            </w:r>
          </w:p>
          <w:p w14:paraId="38E93903">
            <w:pPr>
              <w:autoSpaceDE w:val="0"/>
              <w:autoSpaceDN w:val="0"/>
              <w:adjustRightInd w:val="0"/>
              <w:rPr>
                <w:rFonts w:ascii="宋体" w:hAnsi="宋体" w:cs="宋体"/>
                <w:kern w:val="0"/>
                <w:sz w:val="24"/>
              </w:rPr>
            </w:pPr>
          </w:p>
          <w:p w14:paraId="305949C9">
            <w:pPr>
              <w:autoSpaceDE w:val="0"/>
              <w:autoSpaceDN w:val="0"/>
              <w:adjustRightInd w:val="0"/>
              <w:jc w:val="center"/>
              <w:rPr>
                <w:rFonts w:ascii="宋体" w:hAnsi="宋体" w:cs="宋体"/>
                <w:kern w:val="0"/>
                <w:sz w:val="24"/>
              </w:rPr>
            </w:pPr>
          </w:p>
          <w:p w14:paraId="75631534">
            <w:pPr>
              <w:autoSpaceDE w:val="0"/>
              <w:autoSpaceDN w:val="0"/>
              <w:adjustRightInd w:val="0"/>
              <w:jc w:val="center"/>
              <w:rPr>
                <w:rFonts w:ascii="宋体" w:hAnsi="宋体" w:cs="宋体"/>
                <w:kern w:val="0"/>
                <w:sz w:val="24"/>
              </w:rPr>
            </w:pPr>
          </w:p>
          <w:p w14:paraId="673147BD">
            <w:pPr>
              <w:autoSpaceDE w:val="0"/>
              <w:autoSpaceDN w:val="0"/>
              <w:adjustRightInd w:val="0"/>
              <w:jc w:val="center"/>
              <w:rPr>
                <w:rFonts w:ascii="宋体" w:hAnsi="宋体" w:cs="宋体"/>
                <w:kern w:val="0"/>
                <w:sz w:val="24"/>
              </w:rPr>
            </w:pPr>
          </w:p>
          <w:p w14:paraId="27AC81C4">
            <w:pPr>
              <w:autoSpaceDE w:val="0"/>
              <w:autoSpaceDN w:val="0"/>
              <w:adjustRightInd w:val="0"/>
              <w:jc w:val="center"/>
              <w:rPr>
                <w:rFonts w:ascii="宋体" w:hAnsi="宋体" w:cs="宋体"/>
                <w:kern w:val="0"/>
                <w:sz w:val="24"/>
              </w:rPr>
            </w:pPr>
          </w:p>
          <w:p w14:paraId="79B7AF38">
            <w:pPr>
              <w:autoSpaceDE w:val="0"/>
              <w:autoSpaceDN w:val="0"/>
              <w:adjustRightInd w:val="0"/>
              <w:jc w:val="center"/>
              <w:rPr>
                <w:rFonts w:ascii="宋体" w:hAnsi="宋体" w:cs="宋体"/>
                <w:kern w:val="0"/>
                <w:sz w:val="24"/>
              </w:rPr>
            </w:pPr>
          </w:p>
          <w:p w14:paraId="6A693759">
            <w:pPr>
              <w:autoSpaceDE w:val="0"/>
              <w:autoSpaceDN w:val="0"/>
              <w:adjustRightInd w:val="0"/>
              <w:jc w:val="center"/>
              <w:rPr>
                <w:rFonts w:ascii="宋体" w:hAnsi="宋体" w:cs="宋体"/>
                <w:kern w:val="0"/>
                <w:sz w:val="24"/>
              </w:rPr>
            </w:pPr>
          </w:p>
          <w:p w14:paraId="63B26159">
            <w:pPr>
              <w:autoSpaceDE w:val="0"/>
              <w:autoSpaceDN w:val="0"/>
              <w:adjustRightInd w:val="0"/>
              <w:jc w:val="center"/>
              <w:rPr>
                <w:rFonts w:ascii="宋体" w:hAnsi="宋体" w:cs="宋体"/>
                <w:kern w:val="0"/>
                <w:sz w:val="24"/>
              </w:rPr>
            </w:pPr>
          </w:p>
          <w:p w14:paraId="4CE782A8">
            <w:pPr>
              <w:autoSpaceDE w:val="0"/>
              <w:autoSpaceDN w:val="0"/>
              <w:adjustRightInd w:val="0"/>
              <w:jc w:val="center"/>
              <w:rPr>
                <w:rFonts w:ascii="宋体" w:hAnsi="宋体" w:cs="宋体"/>
                <w:kern w:val="0"/>
                <w:sz w:val="24"/>
              </w:rPr>
            </w:pPr>
          </w:p>
          <w:p w14:paraId="114A66FE">
            <w:pPr>
              <w:autoSpaceDE w:val="0"/>
              <w:autoSpaceDN w:val="0"/>
              <w:adjustRightInd w:val="0"/>
              <w:jc w:val="center"/>
              <w:rPr>
                <w:rFonts w:ascii="宋体" w:hAnsi="宋体" w:cs="宋体"/>
                <w:kern w:val="0"/>
                <w:sz w:val="24"/>
              </w:rPr>
            </w:pPr>
          </w:p>
          <w:p w14:paraId="64425DF6">
            <w:pPr>
              <w:autoSpaceDE w:val="0"/>
              <w:autoSpaceDN w:val="0"/>
              <w:adjustRightInd w:val="0"/>
              <w:rPr>
                <w:rFonts w:ascii="宋体" w:hAnsi="宋体" w:cs="宋体"/>
                <w:kern w:val="0"/>
                <w:sz w:val="24"/>
              </w:rPr>
            </w:pPr>
          </w:p>
        </w:tc>
        <w:tc>
          <w:tcPr>
            <w:tcW w:w="6584" w:type="dxa"/>
          </w:tcPr>
          <w:p w14:paraId="5CCCA8A8">
            <w:pPr>
              <w:numPr>
                <w:ilvl w:val="255"/>
                <w:numId w:val="0"/>
              </w:numPr>
              <w:spacing w:line="360" w:lineRule="auto"/>
              <w:rPr>
                <w:rFonts w:asciiTheme="minorEastAsia" w:hAnsiTheme="minorEastAsia" w:eastAsiaTheme="minorEastAsia"/>
                <w:b/>
                <w:bCs/>
                <w:sz w:val="24"/>
              </w:rPr>
            </w:pPr>
            <w:r>
              <w:rPr>
                <w:rFonts w:hint="eastAsia" w:asciiTheme="minorEastAsia" w:hAnsiTheme="minorEastAsia" w:eastAsiaTheme="minorEastAsia"/>
                <w:b/>
                <w:bCs/>
                <w:sz w:val="24"/>
              </w:rPr>
              <w:t>一、基本情况介绍</w:t>
            </w:r>
          </w:p>
          <w:p w14:paraId="02E283B3">
            <w:pPr>
              <w:spacing w:line="360" w:lineRule="auto"/>
              <w:rPr>
                <w:rFonts w:cs="宋体" w:asciiTheme="minorEastAsia" w:hAnsiTheme="minorEastAsia" w:eastAsiaTheme="minorEastAsia"/>
                <w:sz w:val="24"/>
              </w:rPr>
            </w:pPr>
            <w:r>
              <w:rPr>
                <w:rFonts w:hint="eastAsia" w:cs="宋体" w:asciiTheme="minorEastAsia" w:hAnsiTheme="minorEastAsia" w:eastAsiaTheme="minorEastAsia"/>
                <w:sz w:val="24"/>
                <w:lang w:eastAsia="zh-CN"/>
              </w:rPr>
              <w:t>北京</w:t>
            </w:r>
            <w:r>
              <w:rPr>
                <w:rFonts w:hint="eastAsia" w:cs="宋体" w:asciiTheme="minorEastAsia" w:hAnsiTheme="minorEastAsia" w:eastAsiaTheme="minorEastAsia"/>
                <w:sz w:val="24"/>
              </w:rPr>
              <w:t>航天长峰股份有限公司董事会秘书</w:t>
            </w:r>
            <w:r>
              <w:rPr>
                <w:rFonts w:hint="eastAsia" w:cs="宋体" w:asciiTheme="minorEastAsia" w:hAnsiTheme="minorEastAsia" w:eastAsiaTheme="minorEastAsia"/>
                <w:sz w:val="24"/>
                <w:lang w:val="en-US" w:eastAsia="zh-CN"/>
              </w:rPr>
              <w:t>王艳彬</w:t>
            </w:r>
            <w:r>
              <w:rPr>
                <w:rFonts w:hint="eastAsia" w:cs="宋体" w:asciiTheme="minorEastAsia" w:hAnsiTheme="minorEastAsia" w:eastAsiaTheme="minorEastAsia"/>
                <w:sz w:val="24"/>
              </w:rPr>
              <w:t>对航天长峰</w:t>
            </w:r>
            <w:r>
              <w:rPr>
                <w:rFonts w:hint="eastAsia" w:cs="宋体" w:asciiTheme="minorEastAsia" w:hAnsiTheme="minorEastAsia" w:eastAsiaTheme="minorEastAsia"/>
                <w:sz w:val="24"/>
                <w:lang w:val="en-US" w:eastAsia="zh-CN"/>
              </w:rPr>
              <w:t>军工电子、</w:t>
            </w:r>
            <w:r>
              <w:rPr>
                <w:rFonts w:hint="eastAsia" w:cs="宋体" w:asciiTheme="minorEastAsia" w:hAnsiTheme="minorEastAsia" w:eastAsiaTheme="minorEastAsia"/>
                <w:sz w:val="24"/>
              </w:rPr>
              <w:t>公共安</w:t>
            </w:r>
            <w:r>
              <w:rPr>
                <w:rFonts w:hint="eastAsia" w:cs="宋体" w:asciiTheme="minorEastAsia" w:hAnsiTheme="minorEastAsia" w:eastAsiaTheme="minorEastAsia"/>
                <w:sz w:val="24"/>
                <w:highlight w:val="none"/>
              </w:rPr>
              <w:t>全</w:t>
            </w:r>
            <w:r>
              <w:rPr>
                <w:rFonts w:hint="eastAsia" w:cs="宋体" w:asciiTheme="minorEastAsia" w:hAnsiTheme="minorEastAsia" w:eastAsiaTheme="minorEastAsia"/>
                <w:sz w:val="24"/>
                <w:highlight w:val="none"/>
                <w:lang w:eastAsia="zh-CN"/>
              </w:rPr>
              <w:t>、</w:t>
            </w:r>
            <w:r>
              <w:rPr>
                <w:rFonts w:hint="eastAsia" w:cs="宋体" w:asciiTheme="minorEastAsia" w:hAnsiTheme="minorEastAsia" w:eastAsiaTheme="minorEastAsia"/>
                <w:sz w:val="24"/>
                <w:highlight w:val="none"/>
              </w:rPr>
              <w:t>高端医疗装备三大</w:t>
            </w:r>
            <w:r>
              <w:rPr>
                <w:rFonts w:hint="eastAsia" w:cs="宋体" w:asciiTheme="minorEastAsia" w:hAnsiTheme="minorEastAsia" w:eastAsiaTheme="minorEastAsia"/>
                <w:sz w:val="24"/>
              </w:rPr>
              <w:t>产业定位及发展规划进行介绍。</w:t>
            </w:r>
          </w:p>
          <w:p w14:paraId="21655A10">
            <w:pPr>
              <w:numPr>
                <w:ilvl w:val="0"/>
                <w:numId w:val="1"/>
              </w:numPr>
              <w:spacing w:line="360" w:lineRule="auto"/>
              <w:rPr>
                <w:rFonts w:hint="eastAsia" w:asciiTheme="minorEastAsia" w:hAnsiTheme="minorEastAsia" w:eastAsiaTheme="minorEastAsia"/>
                <w:b/>
                <w:bCs/>
                <w:sz w:val="24"/>
              </w:rPr>
            </w:pPr>
            <w:r>
              <w:rPr>
                <w:rFonts w:hint="eastAsia" w:asciiTheme="minorEastAsia" w:hAnsiTheme="minorEastAsia" w:eastAsiaTheme="minorEastAsia"/>
                <w:b/>
                <w:bCs/>
                <w:sz w:val="24"/>
              </w:rPr>
              <w:t>互动交流</w:t>
            </w:r>
          </w:p>
          <w:p w14:paraId="205F60E1">
            <w:pPr>
              <w:numPr>
                <w:ilvl w:val="0"/>
                <w:numId w:val="0"/>
              </w:numPr>
              <w:spacing w:line="360" w:lineRule="auto"/>
              <w:rPr>
                <w:rFonts w:hint="eastAsia" w:asciiTheme="minorEastAsia" w:hAnsiTheme="minorEastAsia" w:eastAsiaTheme="minorEastAsia"/>
                <w:b/>
                <w:bCs/>
                <w:sz w:val="24"/>
                <w:lang w:val="en-US" w:eastAsia="zh-CN"/>
              </w:rPr>
            </w:pPr>
            <w:r>
              <w:rPr>
                <w:rFonts w:hint="eastAsia" w:asciiTheme="minorEastAsia" w:hAnsiTheme="minorEastAsia" w:eastAsiaTheme="minorEastAsia"/>
                <w:b/>
                <w:bCs/>
                <w:sz w:val="24"/>
                <w:lang w:val="en-US" w:eastAsia="zh-CN"/>
              </w:rPr>
              <w:t>Q1.公司当前经营状况如何，在创新与开拓方面有哪些举措？</w:t>
            </w:r>
          </w:p>
          <w:p w14:paraId="23813010">
            <w:pPr>
              <w:numPr>
                <w:ilvl w:val="0"/>
                <w:numId w:val="0"/>
              </w:numPr>
              <w:spacing w:line="360" w:lineRule="auto"/>
              <w:ind w:firstLine="480" w:firstLineChars="200"/>
              <w:rPr>
                <w:rFonts w:hint="eastAsia" w:asciiTheme="minorEastAsia" w:hAnsiTheme="minorEastAsia" w:eastAsiaTheme="minorEastAsia"/>
                <w:b w:val="0"/>
                <w:bCs w:val="0"/>
                <w:sz w:val="24"/>
                <w:lang w:eastAsia="zh-CN"/>
              </w:rPr>
            </w:pPr>
            <w:r>
              <w:rPr>
                <w:rFonts w:hint="eastAsia" w:asciiTheme="minorEastAsia" w:hAnsiTheme="minorEastAsia" w:eastAsiaTheme="minorEastAsia"/>
                <w:b w:val="0"/>
                <w:bCs w:val="0"/>
                <w:sz w:val="24"/>
              </w:rPr>
              <w:t>面对不确定因素和外部挑战，公司坚持战略统领，锚定核心功能和定位，聚焦主责主业，持续优化产业结构和资产结构，精准配置资源；</w:t>
            </w:r>
            <w:r>
              <w:rPr>
                <w:rFonts w:hint="eastAsia" w:asciiTheme="minorEastAsia" w:hAnsiTheme="minorEastAsia" w:eastAsiaTheme="minorEastAsia"/>
                <w:b w:val="0"/>
                <w:bCs w:val="0"/>
                <w:sz w:val="24"/>
                <w:lang w:eastAsia="zh-CN"/>
              </w:rPr>
              <w:t>积极布局并推进</w:t>
            </w:r>
            <w:r>
              <w:rPr>
                <w:rFonts w:hint="eastAsia" w:asciiTheme="minorEastAsia" w:hAnsiTheme="minorEastAsia" w:eastAsiaTheme="minorEastAsia"/>
                <w:b w:val="0"/>
                <w:bCs w:val="0"/>
                <w:sz w:val="24"/>
              </w:rPr>
              <w:t>新安防与低空产业</w:t>
            </w:r>
            <w:r>
              <w:rPr>
                <w:rFonts w:hint="eastAsia" w:asciiTheme="minorEastAsia" w:hAnsiTheme="minorEastAsia" w:eastAsiaTheme="minorEastAsia"/>
                <w:b w:val="0"/>
                <w:bCs w:val="0"/>
                <w:sz w:val="24"/>
                <w:lang w:eastAsia="zh-CN"/>
              </w:rPr>
              <w:t>项目落地</w:t>
            </w:r>
            <w:r>
              <w:rPr>
                <w:rFonts w:hint="eastAsia" w:asciiTheme="minorEastAsia" w:hAnsiTheme="minorEastAsia" w:eastAsiaTheme="minorEastAsia"/>
                <w:b w:val="0"/>
                <w:bCs w:val="0"/>
                <w:sz w:val="24"/>
              </w:rPr>
              <w:t>，以客户核心需求为导向强化创新驱动，加大市场拓展力度，</w:t>
            </w:r>
            <w:r>
              <w:rPr>
                <w:rFonts w:hint="eastAsia" w:asciiTheme="minorEastAsia" w:hAnsiTheme="minorEastAsia" w:eastAsiaTheme="minorEastAsia"/>
                <w:b w:val="0"/>
                <w:bCs w:val="0"/>
                <w:sz w:val="24"/>
                <w:lang w:eastAsia="zh-CN"/>
              </w:rPr>
              <w:t>采</w:t>
            </w:r>
            <w:r>
              <w:rPr>
                <w:rFonts w:hint="eastAsia" w:asciiTheme="minorEastAsia" w:hAnsiTheme="minorEastAsia" w:eastAsiaTheme="minorEastAsia"/>
                <w:b w:val="0"/>
                <w:bCs w:val="0"/>
                <w:sz w:val="24"/>
              </w:rPr>
              <w:t>用</w:t>
            </w:r>
            <w:r>
              <w:rPr>
                <w:rFonts w:hint="eastAsia" w:asciiTheme="minorEastAsia" w:hAnsiTheme="minorEastAsia" w:eastAsiaTheme="minorEastAsia"/>
                <w:b w:val="0"/>
                <w:bCs w:val="0"/>
                <w:sz w:val="24"/>
                <w:lang w:eastAsia="zh-CN"/>
              </w:rPr>
              <w:t>新质生产力赋能，</w:t>
            </w:r>
            <w:r>
              <w:rPr>
                <w:rFonts w:hint="eastAsia" w:asciiTheme="minorEastAsia" w:hAnsiTheme="minorEastAsia" w:eastAsiaTheme="minorEastAsia"/>
                <w:b w:val="0"/>
                <w:bCs w:val="0"/>
                <w:sz w:val="24"/>
              </w:rPr>
              <w:t>创新产品和优质服务为客户创造价值，坚持以经营为中心推进</w:t>
            </w:r>
            <w:r>
              <w:rPr>
                <w:rFonts w:hint="eastAsia" w:asciiTheme="minorEastAsia" w:hAnsiTheme="minorEastAsia" w:eastAsiaTheme="minorEastAsia"/>
                <w:b w:val="0"/>
                <w:bCs w:val="0"/>
                <w:sz w:val="24"/>
                <w:lang w:val="en-US" w:eastAsia="zh-CN"/>
              </w:rPr>
              <w:t>公司</w:t>
            </w:r>
            <w:bookmarkStart w:id="0" w:name="_GoBack"/>
            <w:bookmarkEnd w:id="0"/>
            <w:r>
              <w:rPr>
                <w:rFonts w:hint="eastAsia" w:asciiTheme="minorEastAsia" w:hAnsiTheme="minorEastAsia" w:eastAsiaTheme="minorEastAsia"/>
                <w:b w:val="0"/>
                <w:bCs w:val="0"/>
                <w:sz w:val="24"/>
                <w:lang w:val="en-US" w:eastAsia="zh-CN"/>
              </w:rPr>
              <w:t>转型升级</w:t>
            </w:r>
            <w:r>
              <w:rPr>
                <w:rFonts w:hint="eastAsia" w:asciiTheme="minorEastAsia" w:hAnsiTheme="minorEastAsia" w:eastAsiaTheme="minorEastAsia"/>
                <w:b w:val="0"/>
                <w:bCs w:val="0"/>
                <w:sz w:val="24"/>
                <w:lang w:eastAsia="zh-CN"/>
              </w:rPr>
              <w:t>。</w:t>
            </w:r>
            <w:r>
              <w:rPr>
                <w:rFonts w:hint="eastAsia" w:asciiTheme="minorEastAsia" w:hAnsiTheme="minorEastAsia" w:eastAsiaTheme="minorEastAsia"/>
                <w:b w:val="0"/>
                <w:bCs w:val="0"/>
                <w:sz w:val="24"/>
                <w:lang w:val="en-US" w:eastAsia="zh-CN"/>
              </w:rPr>
              <w:t>截至2026年第三季度，公司亏损状况</w:t>
            </w:r>
            <w:r>
              <w:rPr>
                <w:rFonts w:hint="eastAsia" w:asciiTheme="minorEastAsia" w:hAnsiTheme="minorEastAsia" w:eastAsiaTheme="minorEastAsia"/>
                <w:b w:val="0"/>
                <w:bCs w:val="0"/>
                <w:sz w:val="24"/>
                <w:lang w:eastAsia="zh-CN"/>
              </w:rPr>
              <w:t>有所改善，受益于军工电子电源业务盈利回升与成本管控，归母净利润亏损7022万元，较上年同期收窄9.3%。</w:t>
            </w:r>
            <w:r>
              <w:rPr>
                <w:rFonts w:hint="eastAsia" w:asciiTheme="minorEastAsia" w:hAnsiTheme="minorEastAsia" w:eastAsiaTheme="minorEastAsia"/>
                <w:b w:val="0"/>
                <w:bCs w:val="0"/>
                <w:sz w:val="24"/>
                <w:lang w:val="en-US" w:eastAsia="zh-CN"/>
              </w:rPr>
              <w:t>在优化产业结构，剥离非主业资产方面，公司子公司股权</w:t>
            </w:r>
            <w:r>
              <w:rPr>
                <w:rFonts w:hint="eastAsia" w:asciiTheme="minorEastAsia" w:hAnsiTheme="minorEastAsia" w:eastAsiaTheme="minorEastAsia"/>
                <w:b w:val="0"/>
                <w:bCs w:val="0"/>
                <w:sz w:val="24"/>
              </w:rPr>
              <w:t>处置</w:t>
            </w:r>
            <w:r>
              <w:rPr>
                <w:rFonts w:hint="eastAsia" w:asciiTheme="minorEastAsia" w:hAnsiTheme="minorEastAsia" w:eastAsiaTheme="minorEastAsia"/>
                <w:b w:val="0"/>
                <w:bCs w:val="0"/>
                <w:sz w:val="24"/>
                <w:lang w:val="en-US" w:eastAsia="zh-CN"/>
              </w:rPr>
              <w:t>事宜</w:t>
            </w:r>
            <w:r>
              <w:rPr>
                <w:rFonts w:hint="eastAsia" w:asciiTheme="minorEastAsia" w:hAnsiTheme="minorEastAsia" w:eastAsiaTheme="minorEastAsia"/>
                <w:b w:val="0"/>
                <w:bCs w:val="0"/>
                <w:sz w:val="24"/>
              </w:rPr>
              <w:t>已取得阶段性进展</w:t>
            </w:r>
            <w:r>
              <w:rPr>
                <w:rFonts w:hint="eastAsia" w:asciiTheme="minorEastAsia" w:hAnsiTheme="minorEastAsia" w:eastAsiaTheme="minorEastAsia"/>
                <w:b w:val="0"/>
                <w:bCs w:val="0"/>
                <w:sz w:val="24"/>
                <w:lang w:eastAsia="zh-CN"/>
              </w:rPr>
              <w:t>。后续</w:t>
            </w:r>
            <w:r>
              <w:rPr>
                <w:rFonts w:hint="eastAsia" w:asciiTheme="minorEastAsia" w:hAnsiTheme="minorEastAsia" w:eastAsiaTheme="minorEastAsia"/>
                <w:b w:val="0"/>
                <w:bCs w:val="0"/>
                <w:sz w:val="24"/>
                <w:lang w:val="en-US" w:eastAsia="zh-CN"/>
              </w:rPr>
              <w:t>，公司将进一步通过“聚焦加调整”和“借力促发展”策略应对挑战，扎实推进“瘦身健体”工程，积极调整非主业资产，加大主业领域资源配置，深度</w:t>
            </w:r>
            <w:r>
              <w:rPr>
                <w:rFonts w:hint="eastAsia" w:asciiTheme="minorEastAsia" w:hAnsiTheme="minorEastAsia" w:eastAsiaTheme="minorEastAsia"/>
                <w:b w:val="0"/>
                <w:bCs w:val="0"/>
                <w:sz w:val="24"/>
              </w:rPr>
              <w:t>融入航天防务装备产业体系，积极开拓重点行业应用，打造具有鲜明航天技术特色和高性价比的产品谱系，以产业合作与协同发展模式，结合业务需求和成果转化，推动</w:t>
            </w:r>
            <w:r>
              <w:rPr>
                <w:rFonts w:hint="eastAsia" w:asciiTheme="minorEastAsia" w:hAnsiTheme="minorEastAsia" w:eastAsiaTheme="minorEastAsia"/>
                <w:b w:val="0"/>
                <w:bCs w:val="0"/>
                <w:sz w:val="24"/>
                <w:lang w:eastAsia="zh-CN"/>
              </w:rPr>
              <w:t>核心技术</w:t>
            </w:r>
            <w:r>
              <w:rPr>
                <w:rFonts w:hint="eastAsia" w:asciiTheme="minorEastAsia" w:hAnsiTheme="minorEastAsia" w:eastAsiaTheme="minorEastAsia"/>
                <w:b w:val="0"/>
                <w:bCs w:val="0"/>
                <w:sz w:val="24"/>
              </w:rPr>
              <w:t>向上游延伸，</w:t>
            </w:r>
            <w:r>
              <w:rPr>
                <w:rFonts w:hint="eastAsia" w:asciiTheme="minorEastAsia" w:hAnsiTheme="minorEastAsia" w:eastAsiaTheme="minorEastAsia"/>
                <w:b w:val="0"/>
                <w:bCs w:val="0"/>
                <w:sz w:val="24"/>
                <w:lang w:eastAsia="zh-CN"/>
              </w:rPr>
              <w:t>产品</w:t>
            </w:r>
            <w:r>
              <w:rPr>
                <w:rFonts w:hint="eastAsia" w:asciiTheme="minorEastAsia" w:hAnsiTheme="minorEastAsia" w:eastAsiaTheme="minorEastAsia"/>
                <w:b w:val="0"/>
                <w:bCs w:val="0"/>
                <w:sz w:val="24"/>
              </w:rPr>
              <w:t>向横向</w:t>
            </w:r>
            <w:r>
              <w:rPr>
                <w:rFonts w:hint="eastAsia" w:asciiTheme="minorEastAsia" w:hAnsiTheme="minorEastAsia" w:eastAsiaTheme="minorEastAsia"/>
                <w:b w:val="0"/>
                <w:bCs w:val="0"/>
                <w:sz w:val="24"/>
                <w:lang w:eastAsia="zh-CN"/>
              </w:rPr>
              <w:t>领域</w:t>
            </w:r>
            <w:r>
              <w:rPr>
                <w:rFonts w:hint="eastAsia" w:asciiTheme="minorEastAsia" w:hAnsiTheme="minorEastAsia" w:eastAsiaTheme="minorEastAsia"/>
                <w:b w:val="0"/>
                <w:bCs w:val="0"/>
                <w:sz w:val="24"/>
              </w:rPr>
              <w:t>拓展，以“强借力、深融合”促进公司高质量发展。</w:t>
            </w:r>
          </w:p>
          <w:p w14:paraId="7813648C">
            <w:pPr>
              <w:numPr>
                <w:ilvl w:val="0"/>
                <w:numId w:val="0"/>
              </w:numPr>
              <w:spacing w:line="360" w:lineRule="auto"/>
              <w:rPr>
                <w:rFonts w:hint="eastAsia" w:asciiTheme="minorEastAsia" w:hAnsiTheme="minorEastAsia" w:eastAsiaTheme="minorEastAsia"/>
                <w:b/>
                <w:bCs/>
                <w:sz w:val="24"/>
                <w:lang w:eastAsia="zh-CN"/>
              </w:rPr>
            </w:pPr>
          </w:p>
          <w:p w14:paraId="176A95AF">
            <w:pPr>
              <w:numPr>
                <w:ilvl w:val="0"/>
                <w:numId w:val="0"/>
              </w:numPr>
              <w:spacing w:line="360" w:lineRule="auto"/>
              <w:rPr>
                <w:rFonts w:hint="eastAsia" w:asciiTheme="minorEastAsia" w:hAnsiTheme="minorEastAsia" w:eastAsiaTheme="minorEastAsia"/>
                <w:b/>
                <w:bCs/>
                <w:sz w:val="24"/>
              </w:rPr>
            </w:pPr>
            <w:r>
              <w:rPr>
                <w:rFonts w:hint="eastAsia" w:asciiTheme="minorEastAsia" w:hAnsiTheme="minorEastAsia" w:eastAsiaTheme="minorEastAsia"/>
                <w:b/>
                <w:bCs/>
                <w:sz w:val="24"/>
                <w:lang w:val="en-US" w:eastAsia="zh-CN"/>
              </w:rPr>
              <w:t>Q2.航天长峰下属子公司长峰科威</w:t>
            </w:r>
            <w:r>
              <w:rPr>
                <w:rFonts w:hint="eastAsia" w:asciiTheme="minorEastAsia" w:hAnsiTheme="minorEastAsia" w:eastAsiaTheme="minorEastAsia"/>
                <w:b/>
                <w:bCs/>
                <w:sz w:val="24"/>
              </w:rPr>
              <w:t>在红外领域技术能力属于国内什么水平？除传统红外光电领域外，还有</w:t>
            </w:r>
            <w:r>
              <w:rPr>
                <w:rFonts w:hint="eastAsia" w:asciiTheme="minorEastAsia" w:hAnsiTheme="minorEastAsia" w:eastAsiaTheme="minorEastAsia"/>
                <w:b/>
                <w:bCs/>
                <w:sz w:val="24"/>
                <w:lang w:val="en-US" w:eastAsia="zh-CN"/>
              </w:rPr>
              <w:t>新的拓展方向吗</w:t>
            </w:r>
            <w:r>
              <w:rPr>
                <w:rFonts w:hint="eastAsia" w:asciiTheme="minorEastAsia" w:hAnsiTheme="minorEastAsia" w:eastAsiaTheme="minorEastAsia"/>
                <w:b/>
                <w:bCs/>
                <w:sz w:val="24"/>
              </w:rPr>
              <w:t>？</w:t>
            </w:r>
          </w:p>
          <w:p w14:paraId="2C88E9EF">
            <w:pPr>
              <w:numPr>
                <w:ilvl w:val="0"/>
                <w:numId w:val="0"/>
              </w:numPr>
              <w:spacing w:line="360" w:lineRule="auto"/>
              <w:ind w:firstLine="480" w:firstLineChars="200"/>
              <w:rPr>
                <w:rFonts w:hint="eastAsia" w:asciiTheme="minorEastAsia" w:hAnsiTheme="minorEastAsia" w:eastAsiaTheme="minorEastAsia"/>
                <w:b w:val="0"/>
                <w:bCs w:val="0"/>
                <w:sz w:val="24"/>
              </w:rPr>
            </w:pPr>
            <w:r>
              <w:rPr>
                <w:rFonts w:hint="eastAsia" w:asciiTheme="minorEastAsia" w:hAnsiTheme="minorEastAsia" w:eastAsiaTheme="minorEastAsia"/>
                <w:b w:val="0"/>
                <w:bCs w:val="0"/>
                <w:sz w:val="24"/>
              </w:rPr>
              <w:t>航天长峰所属长峰科威深耕国产化全波段</w:t>
            </w:r>
            <w:r>
              <w:rPr>
                <w:rFonts w:hint="eastAsia" w:asciiTheme="minorEastAsia" w:hAnsiTheme="minorEastAsia" w:eastAsiaTheme="minorEastAsia"/>
                <w:b w:val="0"/>
                <w:bCs w:val="0"/>
                <w:sz w:val="24"/>
                <w:lang w:eastAsia="zh-CN"/>
              </w:rPr>
              <w:t>、多变焦</w:t>
            </w:r>
            <w:r>
              <w:rPr>
                <w:rFonts w:hint="eastAsia" w:asciiTheme="minorEastAsia" w:hAnsiTheme="minorEastAsia" w:eastAsiaTheme="minorEastAsia"/>
                <w:b w:val="0"/>
                <w:bCs w:val="0"/>
                <w:sz w:val="24"/>
              </w:rPr>
              <w:t>红外探测与成像技术领域20多年，</w:t>
            </w:r>
            <w:r>
              <w:rPr>
                <w:rFonts w:hint="eastAsia" w:asciiTheme="minorEastAsia" w:hAnsiTheme="minorEastAsia" w:eastAsiaTheme="minorEastAsia"/>
                <w:b w:val="0"/>
                <w:bCs w:val="0"/>
                <w:sz w:val="24"/>
                <w:lang w:eastAsia="zh-CN"/>
              </w:rPr>
              <w:t>在信号处理、先进成像算法、系统结构与精密复杂光路设计与制造方面具有深厚的技术和经验积淀。</w:t>
            </w:r>
          </w:p>
          <w:p w14:paraId="1DB01C88">
            <w:pPr>
              <w:numPr>
                <w:ilvl w:val="0"/>
                <w:numId w:val="0"/>
              </w:numPr>
              <w:spacing w:line="360" w:lineRule="auto"/>
              <w:rPr>
                <w:rFonts w:hint="eastAsia" w:asciiTheme="minorEastAsia" w:hAnsiTheme="minorEastAsia" w:eastAsiaTheme="minorEastAsia"/>
                <w:b w:val="0"/>
                <w:bCs w:val="0"/>
                <w:sz w:val="24"/>
                <w:lang w:val="en-US" w:eastAsia="zh-CN"/>
              </w:rPr>
            </w:pPr>
            <w:r>
              <w:rPr>
                <w:rFonts w:hint="eastAsia" w:asciiTheme="minorEastAsia" w:hAnsiTheme="minorEastAsia" w:eastAsiaTheme="minorEastAsia"/>
                <w:b w:val="0"/>
                <w:bCs w:val="0"/>
                <w:sz w:val="24"/>
              </w:rPr>
              <w:t>长峰科威在继续保持传统优势红外光电成像系统业务领域基础上，积极布局新领域：基于三维悬浮微桥阵列MEMS光热转换技术，推出了具有国内最高分辨率的红外场景模拟器，低温红外场景模拟器</w:t>
            </w:r>
            <w:r>
              <w:rPr>
                <w:rFonts w:hint="eastAsia" w:asciiTheme="minorEastAsia" w:hAnsiTheme="minorEastAsia" w:eastAsiaTheme="minorEastAsia"/>
                <w:b w:val="0"/>
                <w:bCs w:val="0"/>
                <w:sz w:val="24"/>
                <w:lang w:val="en-US" w:eastAsia="zh-CN"/>
              </w:rPr>
              <w:t>可仿真船舶、飞行器等红外特征，满足红外导引头多场景半实物仿真需求，支撑红外导引头在实验室内完成高逼真度“实战”训练</w:t>
            </w:r>
            <w:r>
              <w:rPr>
                <w:rFonts w:hint="eastAsia" w:asciiTheme="minorEastAsia" w:hAnsiTheme="minorEastAsia" w:eastAsiaTheme="minorEastAsia"/>
                <w:b w:val="0"/>
                <w:bCs w:val="0"/>
                <w:sz w:val="24"/>
              </w:rPr>
              <w:t>；</w:t>
            </w:r>
            <w:r>
              <w:rPr>
                <w:rFonts w:hint="eastAsia" w:asciiTheme="minorEastAsia" w:hAnsiTheme="minorEastAsia" w:eastAsiaTheme="minorEastAsia"/>
                <w:b w:val="0"/>
                <w:bCs w:val="0"/>
                <w:sz w:val="24"/>
                <w:lang w:eastAsia="zh-CN"/>
              </w:rPr>
              <w:t>此外，公司利用核心技术</w:t>
            </w:r>
            <w:r>
              <w:rPr>
                <w:rFonts w:hint="eastAsia" w:asciiTheme="minorEastAsia" w:hAnsiTheme="minorEastAsia" w:eastAsiaTheme="minorEastAsia"/>
                <w:b w:val="0"/>
                <w:bCs w:val="0"/>
                <w:sz w:val="24"/>
              </w:rPr>
              <w:t>积极</w:t>
            </w:r>
            <w:r>
              <w:rPr>
                <w:rFonts w:hint="eastAsia" w:asciiTheme="minorEastAsia" w:hAnsiTheme="minorEastAsia" w:eastAsiaTheme="minorEastAsia"/>
                <w:b w:val="0"/>
                <w:bCs w:val="0"/>
                <w:sz w:val="24"/>
                <w:lang w:eastAsia="zh-CN"/>
              </w:rPr>
              <w:t>研制</w:t>
            </w:r>
            <w:r>
              <w:rPr>
                <w:rFonts w:hint="eastAsia" w:asciiTheme="minorEastAsia" w:hAnsiTheme="minorEastAsia" w:eastAsiaTheme="minorEastAsia"/>
                <w:b w:val="0"/>
                <w:bCs w:val="0"/>
                <w:sz w:val="24"/>
              </w:rPr>
              <w:t>系统级产品，</w:t>
            </w:r>
            <w:r>
              <w:rPr>
                <w:rFonts w:hint="eastAsia" w:asciiTheme="minorEastAsia" w:hAnsiTheme="minorEastAsia" w:eastAsiaTheme="minorEastAsia"/>
                <w:b w:val="0"/>
                <w:bCs w:val="0"/>
                <w:sz w:val="24"/>
                <w:lang w:eastAsia="zh-CN"/>
              </w:rPr>
              <w:t>探驱一体化的</w:t>
            </w:r>
            <w:r>
              <w:rPr>
                <w:rFonts w:hint="eastAsia" w:asciiTheme="minorEastAsia" w:hAnsiTheme="minorEastAsia" w:eastAsiaTheme="minorEastAsia"/>
                <w:b w:val="0"/>
                <w:bCs w:val="0"/>
                <w:sz w:val="24"/>
              </w:rPr>
              <w:t>自动驱鸟系统</w:t>
            </w:r>
            <w:r>
              <w:rPr>
                <w:rFonts w:hint="eastAsia" w:asciiTheme="minorEastAsia" w:hAnsiTheme="minorEastAsia" w:eastAsiaTheme="minorEastAsia"/>
                <w:b w:val="0"/>
                <w:bCs w:val="0"/>
                <w:sz w:val="24"/>
                <w:lang w:val="en-US" w:eastAsia="zh-CN"/>
              </w:rPr>
              <w:t>已完成产品化定型，实测效果较为显著，正在进入市场推广阶段。</w:t>
            </w:r>
          </w:p>
          <w:p w14:paraId="31E06368">
            <w:pPr>
              <w:numPr>
                <w:ilvl w:val="0"/>
                <w:numId w:val="0"/>
              </w:numPr>
              <w:spacing w:line="360" w:lineRule="auto"/>
              <w:rPr>
                <w:rFonts w:hint="eastAsia" w:asciiTheme="minorEastAsia" w:hAnsiTheme="minorEastAsia" w:eastAsiaTheme="minorEastAsia"/>
                <w:b/>
                <w:bCs/>
                <w:sz w:val="24"/>
                <w:lang w:val="en-US" w:eastAsia="zh-CN"/>
              </w:rPr>
            </w:pPr>
          </w:p>
          <w:p w14:paraId="6CF5FC1F">
            <w:pPr>
              <w:numPr>
                <w:ilvl w:val="0"/>
                <w:numId w:val="0"/>
              </w:numPr>
              <w:spacing w:line="360" w:lineRule="auto"/>
              <w:rPr>
                <w:rFonts w:hint="eastAsia" w:asciiTheme="minorEastAsia" w:hAnsiTheme="minorEastAsia" w:eastAsiaTheme="minorEastAsia"/>
                <w:b/>
                <w:bCs/>
                <w:sz w:val="24"/>
                <w:lang w:val="en-US" w:eastAsia="zh-CN"/>
              </w:rPr>
            </w:pPr>
            <w:r>
              <w:rPr>
                <w:rFonts w:hint="eastAsia" w:asciiTheme="minorEastAsia" w:hAnsiTheme="minorEastAsia" w:eastAsiaTheme="minorEastAsia"/>
                <w:b/>
                <w:bCs/>
                <w:sz w:val="24"/>
                <w:lang w:val="en-US" w:eastAsia="zh-CN"/>
              </w:rPr>
              <w:t>Q3.请简要介绍</w:t>
            </w:r>
            <w:r>
              <w:rPr>
                <w:rFonts w:hint="eastAsia" w:asciiTheme="minorEastAsia" w:hAnsiTheme="minorEastAsia" w:eastAsiaTheme="minorEastAsia"/>
                <w:b/>
                <w:bCs/>
                <w:sz w:val="24"/>
              </w:rPr>
              <w:t>航天长峰</w:t>
            </w:r>
            <w:r>
              <w:rPr>
                <w:rFonts w:hint="eastAsia" w:asciiTheme="minorEastAsia" w:hAnsiTheme="minorEastAsia" w:eastAsiaTheme="minorEastAsia"/>
                <w:b/>
                <w:bCs/>
                <w:sz w:val="24"/>
                <w:lang w:val="en-US" w:eastAsia="zh-CN"/>
              </w:rPr>
              <w:t>下属子公司</w:t>
            </w:r>
            <w:r>
              <w:rPr>
                <w:rFonts w:hint="eastAsia" w:asciiTheme="minorEastAsia" w:hAnsiTheme="minorEastAsia" w:eastAsiaTheme="minorEastAsia"/>
                <w:b/>
                <w:bCs/>
                <w:sz w:val="24"/>
              </w:rPr>
              <w:t>航天朝阳电源</w:t>
            </w:r>
            <w:r>
              <w:rPr>
                <w:rFonts w:hint="eastAsia" w:asciiTheme="minorEastAsia" w:hAnsiTheme="minorEastAsia" w:eastAsiaTheme="minorEastAsia"/>
                <w:b/>
                <w:bCs/>
                <w:sz w:val="24"/>
                <w:lang w:eastAsia="zh-CN"/>
              </w:rPr>
              <w:t>有哪些竞争优势及后续发展思路</w:t>
            </w:r>
            <w:r>
              <w:rPr>
                <w:rFonts w:hint="eastAsia" w:asciiTheme="minorEastAsia" w:hAnsiTheme="minorEastAsia" w:eastAsiaTheme="minorEastAsia"/>
                <w:b/>
                <w:bCs/>
                <w:sz w:val="24"/>
                <w:lang w:val="en-US" w:eastAsia="zh-CN"/>
              </w:rPr>
              <w:t>。</w:t>
            </w:r>
          </w:p>
          <w:p w14:paraId="36F5C8D5">
            <w:pPr>
              <w:numPr>
                <w:ilvl w:val="0"/>
                <w:numId w:val="0"/>
              </w:numPr>
              <w:spacing w:line="360" w:lineRule="auto"/>
              <w:ind w:firstLine="480" w:firstLineChars="200"/>
              <w:rPr>
                <w:rFonts w:hint="eastAsia" w:asciiTheme="minorEastAsia" w:hAnsiTheme="minorEastAsia" w:eastAsiaTheme="minorEastAsia"/>
                <w:b w:val="0"/>
                <w:bCs w:val="0"/>
                <w:sz w:val="24"/>
              </w:rPr>
            </w:pPr>
            <w:r>
              <w:rPr>
                <w:rFonts w:hint="eastAsia" w:asciiTheme="minorEastAsia" w:hAnsiTheme="minorEastAsia" w:eastAsiaTheme="minorEastAsia"/>
                <w:b w:val="0"/>
                <w:bCs w:val="0"/>
                <w:sz w:val="24"/>
              </w:rPr>
              <w:t>航天朝阳电源近年来营业收入稳健增长，主要得益于产品</w:t>
            </w:r>
            <w:r>
              <w:rPr>
                <w:rFonts w:hint="eastAsia" w:asciiTheme="minorEastAsia" w:hAnsiTheme="minorEastAsia" w:eastAsiaTheme="minorEastAsia"/>
                <w:b w:val="0"/>
                <w:bCs w:val="0"/>
                <w:sz w:val="24"/>
                <w:lang w:eastAsia="zh-CN"/>
              </w:rPr>
              <w:t>谱系完备，</w:t>
            </w:r>
            <w:r>
              <w:rPr>
                <w:rFonts w:hint="eastAsia" w:asciiTheme="minorEastAsia" w:hAnsiTheme="minorEastAsia" w:eastAsiaTheme="minorEastAsia"/>
                <w:b w:val="0"/>
                <w:bCs w:val="0"/>
                <w:sz w:val="24"/>
              </w:rPr>
              <w:t>涵盖系统电源、模块电源、集成一体化电源等，</w:t>
            </w:r>
            <w:r>
              <w:rPr>
                <w:rFonts w:hint="eastAsia" w:asciiTheme="minorEastAsia" w:hAnsiTheme="minorEastAsia" w:eastAsiaTheme="minorEastAsia"/>
                <w:b w:val="0"/>
                <w:bCs w:val="0"/>
                <w:sz w:val="24"/>
                <w:lang w:eastAsia="zh-CN"/>
              </w:rPr>
              <w:t>应用领域广泛，</w:t>
            </w:r>
            <w:r>
              <w:rPr>
                <w:rFonts w:hint="eastAsia" w:asciiTheme="minorEastAsia" w:hAnsiTheme="minorEastAsia" w:eastAsiaTheme="minorEastAsia"/>
                <w:b w:val="0"/>
                <w:bCs w:val="0"/>
                <w:sz w:val="24"/>
              </w:rPr>
              <w:t>配套航天、航空、兵器、船舶舰船、电子信息、核工业六大军工领域，客户覆盖十大军工集团，并积极拓展新能源、轨道交通、低空飞行器、智慧医疗、智能制造等民用市场。公司持续提升产品质量和国产化水平，完善快速定制响应与客户反馈机制，按市场化原则增强配套服务能力，强化自主创新和产业化能力，打造电源产业发展基地，推进技术快速产品化和产品标准货架化，逐步形成规模效应与协同发展</w:t>
            </w:r>
            <w:r>
              <w:rPr>
                <w:rFonts w:hint="eastAsia" w:asciiTheme="minorEastAsia" w:hAnsiTheme="minorEastAsia" w:eastAsiaTheme="minorEastAsia"/>
                <w:b w:val="0"/>
                <w:bCs w:val="0"/>
                <w:sz w:val="24"/>
                <w:lang w:eastAsia="zh-CN"/>
              </w:rPr>
              <w:t>格局</w:t>
            </w:r>
            <w:r>
              <w:rPr>
                <w:rFonts w:hint="eastAsia" w:asciiTheme="minorEastAsia" w:hAnsiTheme="minorEastAsia" w:eastAsiaTheme="minorEastAsia"/>
                <w:b w:val="0"/>
                <w:bCs w:val="0"/>
                <w:sz w:val="24"/>
              </w:rPr>
              <w:t>。同时，公司通过数字化、智能化升级建成年产十万块高端电源模块的柔性装配生产线，依托元器件可靠性筛选中心和EMC电磁兼容实验室提升产品可靠性与对外服务能力。后续公司将继续增强</w:t>
            </w:r>
            <w:r>
              <w:rPr>
                <w:rFonts w:hint="eastAsia" w:asciiTheme="minorEastAsia" w:hAnsiTheme="minorEastAsia" w:eastAsiaTheme="minorEastAsia"/>
                <w:b w:val="0"/>
                <w:bCs w:val="0"/>
                <w:sz w:val="24"/>
                <w:lang w:eastAsia="zh-CN"/>
              </w:rPr>
              <w:t>产品型谱化统型设计，</w:t>
            </w:r>
            <w:r>
              <w:rPr>
                <w:rFonts w:hint="eastAsia" w:asciiTheme="minorEastAsia" w:hAnsiTheme="minorEastAsia" w:eastAsiaTheme="minorEastAsia"/>
                <w:b w:val="0"/>
                <w:bCs w:val="0"/>
                <w:sz w:val="24"/>
              </w:rPr>
              <w:t>推进电源产品全面国产化</w:t>
            </w:r>
            <w:r>
              <w:rPr>
                <w:rFonts w:hint="eastAsia" w:asciiTheme="minorEastAsia" w:hAnsiTheme="minorEastAsia" w:eastAsiaTheme="minorEastAsia"/>
                <w:b w:val="0"/>
                <w:bCs w:val="0"/>
                <w:sz w:val="24"/>
                <w:lang w:eastAsia="zh-CN"/>
              </w:rPr>
              <w:t>，</w:t>
            </w:r>
            <w:r>
              <w:rPr>
                <w:rFonts w:hint="eastAsia" w:asciiTheme="minorEastAsia" w:hAnsiTheme="minorEastAsia" w:eastAsiaTheme="minorEastAsia"/>
                <w:b w:val="0"/>
                <w:bCs w:val="0"/>
                <w:sz w:val="24"/>
              </w:rPr>
              <w:t>提高通用货架式产品比例</w:t>
            </w:r>
            <w:r>
              <w:rPr>
                <w:rFonts w:hint="eastAsia" w:asciiTheme="minorEastAsia" w:hAnsiTheme="minorEastAsia" w:eastAsiaTheme="minorEastAsia"/>
                <w:b w:val="0"/>
                <w:bCs w:val="0"/>
                <w:sz w:val="24"/>
                <w:lang w:eastAsia="zh-CN"/>
              </w:rPr>
              <w:t>，</w:t>
            </w:r>
            <w:r>
              <w:rPr>
                <w:rFonts w:hint="eastAsia" w:asciiTheme="minorEastAsia" w:hAnsiTheme="minorEastAsia" w:eastAsiaTheme="minorEastAsia"/>
                <w:b w:val="0"/>
                <w:bCs w:val="0"/>
                <w:sz w:val="24"/>
              </w:rPr>
              <w:t>不断提升规模</w:t>
            </w:r>
            <w:r>
              <w:rPr>
                <w:rFonts w:hint="eastAsia" w:asciiTheme="minorEastAsia" w:hAnsiTheme="minorEastAsia" w:eastAsiaTheme="minorEastAsia"/>
                <w:b w:val="0"/>
                <w:bCs w:val="0"/>
                <w:sz w:val="24"/>
                <w:lang w:eastAsia="zh-CN"/>
              </w:rPr>
              <w:t>化发展优势，加大</w:t>
            </w:r>
            <w:r>
              <w:rPr>
                <w:rFonts w:hint="eastAsia" w:asciiTheme="minorEastAsia" w:hAnsiTheme="minorEastAsia" w:eastAsiaTheme="minorEastAsia"/>
                <w:b w:val="0"/>
                <w:bCs w:val="0"/>
                <w:sz w:val="24"/>
              </w:rPr>
              <w:t>系统内</w:t>
            </w:r>
            <w:r>
              <w:rPr>
                <w:rFonts w:hint="eastAsia" w:asciiTheme="minorEastAsia" w:hAnsiTheme="minorEastAsia" w:eastAsiaTheme="minorEastAsia"/>
                <w:b w:val="0"/>
                <w:bCs w:val="0"/>
                <w:sz w:val="24"/>
                <w:lang w:eastAsia="zh-CN"/>
              </w:rPr>
              <w:t>、外产品</w:t>
            </w:r>
            <w:r>
              <w:rPr>
                <w:rFonts w:hint="eastAsia" w:asciiTheme="minorEastAsia" w:hAnsiTheme="minorEastAsia" w:eastAsiaTheme="minorEastAsia"/>
                <w:b w:val="0"/>
                <w:bCs w:val="0"/>
                <w:sz w:val="24"/>
              </w:rPr>
              <w:t>配套</w:t>
            </w:r>
            <w:r>
              <w:rPr>
                <w:rFonts w:hint="eastAsia" w:asciiTheme="minorEastAsia" w:hAnsiTheme="minorEastAsia" w:eastAsiaTheme="minorEastAsia"/>
                <w:b w:val="0"/>
                <w:bCs w:val="0"/>
                <w:sz w:val="24"/>
                <w:lang w:eastAsia="zh-CN"/>
              </w:rPr>
              <w:t>和交付力度</w:t>
            </w:r>
            <w:r>
              <w:rPr>
                <w:rFonts w:hint="eastAsia" w:asciiTheme="minorEastAsia" w:hAnsiTheme="minorEastAsia" w:eastAsiaTheme="minorEastAsia"/>
                <w:b w:val="0"/>
                <w:bCs w:val="0"/>
                <w:sz w:val="24"/>
              </w:rPr>
              <w:t>，</w:t>
            </w:r>
            <w:r>
              <w:rPr>
                <w:rFonts w:hint="eastAsia" w:asciiTheme="minorEastAsia" w:hAnsiTheme="minorEastAsia" w:eastAsiaTheme="minorEastAsia"/>
                <w:b w:val="0"/>
                <w:bCs w:val="0"/>
                <w:sz w:val="24"/>
                <w:lang w:eastAsia="zh-CN"/>
              </w:rPr>
              <w:t>为国防工业做出更大贡献</w:t>
            </w:r>
            <w:r>
              <w:rPr>
                <w:rFonts w:hint="eastAsia" w:asciiTheme="minorEastAsia" w:hAnsiTheme="minorEastAsia" w:eastAsiaTheme="minorEastAsia"/>
                <w:b w:val="0"/>
                <w:bCs w:val="0"/>
                <w:sz w:val="24"/>
              </w:rPr>
              <w:t>。</w:t>
            </w:r>
          </w:p>
          <w:p w14:paraId="0ABECDE4">
            <w:pPr>
              <w:spacing w:line="360" w:lineRule="auto"/>
              <w:rPr>
                <w:rFonts w:cs="宋体" w:asciiTheme="minorEastAsia" w:hAnsiTheme="minorEastAsia" w:eastAsiaTheme="minorEastAsia"/>
                <w:b/>
                <w:sz w:val="24"/>
              </w:rPr>
            </w:pPr>
          </w:p>
        </w:tc>
      </w:tr>
      <w:tr w14:paraId="15989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2375" w:type="dxa"/>
            <w:vAlign w:val="center"/>
          </w:tcPr>
          <w:p w14:paraId="65275ED9">
            <w:pPr>
              <w:autoSpaceDE w:val="0"/>
              <w:autoSpaceDN w:val="0"/>
              <w:adjustRightInd w:val="0"/>
              <w:jc w:val="center"/>
              <w:rPr>
                <w:rFonts w:ascii="宋体" w:hAnsi="宋体" w:cs="宋体"/>
                <w:kern w:val="0"/>
                <w:sz w:val="24"/>
              </w:rPr>
            </w:pPr>
            <w:r>
              <w:rPr>
                <w:rFonts w:hint="eastAsia" w:ascii="宋体" w:hAnsi="宋体" w:cs="宋体"/>
                <w:kern w:val="0"/>
                <w:sz w:val="24"/>
              </w:rPr>
              <w:t>附件清单</w:t>
            </w:r>
          </w:p>
        </w:tc>
        <w:tc>
          <w:tcPr>
            <w:tcW w:w="6584" w:type="dxa"/>
            <w:vAlign w:val="center"/>
          </w:tcPr>
          <w:p w14:paraId="3ADACCE1">
            <w:pPr>
              <w:jc w:val="left"/>
              <w:rPr>
                <w:rFonts w:ascii="宋体" w:hAnsi="宋体" w:cs="黑体"/>
                <w:kern w:val="0"/>
                <w:sz w:val="24"/>
              </w:rPr>
            </w:pPr>
            <w:r>
              <w:rPr>
                <w:rFonts w:hint="eastAsia" w:ascii="宋体" w:hAnsi="宋体" w:cs="黑体"/>
                <w:kern w:val="0"/>
                <w:sz w:val="24"/>
              </w:rPr>
              <w:t>无</w:t>
            </w:r>
          </w:p>
        </w:tc>
      </w:tr>
      <w:tr w14:paraId="616C0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2375" w:type="dxa"/>
            <w:vAlign w:val="center"/>
          </w:tcPr>
          <w:p w14:paraId="732EF06D">
            <w:pPr>
              <w:autoSpaceDE w:val="0"/>
              <w:autoSpaceDN w:val="0"/>
              <w:adjustRightInd w:val="0"/>
              <w:jc w:val="center"/>
              <w:rPr>
                <w:rFonts w:ascii="宋体" w:hAnsi="宋体"/>
                <w:kern w:val="0"/>
                <w:sz w:val="24"/>
              </w:rPr>
            </w:pPr>
            <w:r>
              <w:rPr>
                <w:rFonts w:ascii="宋体" w:hAnsi="宋体"/>
                <w:kern w:val="0"/>
                <w:sz w:val="24"/>
              </w:rPr>
              <w:t>日期</w:t>
            </w:r>
          </w:p>
        </w:tc>
        <w:tc>
          <w:tcPr>
            <w:tcW w:w="6584" w:type="dxa"/>
            <w:vAlign w:val="center"/>
          </w:tcPr>
          <w:p w14:paraId="5D409CAD">
            <w:pPr>
              <w:autoSpaceDE w:val="0"/>
              <w:autoSpaceDN w:val="0"/>
              <w:adjustRightInd w:val="0"/>
              <w:rPr>
                <w:rFonts w:ascii="宋体" w:hAnsi="宋体"/>
                <w:kern w:val="0"/>
                <w:sz w:val="24"/>
              </w:rPr>
            </w:pPr>
            <w:r>
              <w:rPr>
                <w:rFonts w:ascii="宋体" w:hAnsi="宋体"/>
                <w:kern w:val="0"/>
                <w:sz w:val="24"/>
              </w:rPr>
              <w:t>202</w:t>
            </w:r>
            <w:r>
              <w:rPr>
                <w:rFonts w:hint="eastAsia" w:ascii="宋体" w:hAnsi="宋体"/>
                <w:kern w:val="0"/>
                <w:sz w:val="24"/>
                <w:lang w:val="en-US" w:eastAsia="zh-CN"/>
              </w:rPr>
              <w:t>6</w:t>
            </w:r>
            <w:r>
              <w:rPr>
                <w:rFonts w:ascii="宋体" w:hAnsi="宋体"/>
                <w:kern w:val="0"/>
                <w:sz w:val="24"/>
              </w:rPr>
              <w:t>年</w:t>
            </w:r>
            <w:r>
              <w:rPr>
                <w:rFonts w:hint="eastAsia" w:ascii="宋体" w:hAnsi="宋体"/>
                <w:kern w:val="0"/>
                <w:sz w:val="24"/>
                <w:lang w:val="en-US" w:eastAsia="zh-CN"/>
              </w:rPr>
              <w:t>11</w:t>
            </w:r>
            <w:r>
              <w:rPr>
                <w:rFonts w:ascii="宋体" w:hAnsi="宋体"/>
                <w:kern w:val="0"/>
                <w:sz w:val="24"/>
              </w:rPr>
              <w:t>月</w:t>
            </w:r>
            <w:r>
              <w:rPr>
                <w:rFonts w:hint="eastAsia" w:ascii="宋体" w:hAnsi="宋体"/>
                <w:kern w:val="0"/>
                <w:sz w:val="24"/>
                <w:lang w:val="en-US" w:eastAsia="zh-CN"/>
              </w:rPr>
              <w:t>4</w:t>
            </w:r>
            <w:r>
              <w:rPr>
                <w:rFonts w:ascii="宋体" w:hAnsi="宋体"/>
                <w:kern w:val="0"/>
                <w:sz w:val="24"/>
              </w:rPr>
              <w:t>日</w:t>
            </w:r>
          </w:p>
        </w:tc>
      </w:tr>
      <w:tr w14:paraId="0D6AF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8" w:hRule="atLeast"/>
        </w:trPr>
        <w:tc>
          <w:tcPr>
            <w:tcW w:w="2375" w:type="dxa"/>
            <w:vAlign w:val="center"/>
          </w:tcPr>
          <w:p w14:paraId="30A4D38F">
            <w:pPr>
              <w:autoSpaceDE w:val="0"/>
              <w:autoSpaceDN w:val="0"/>
              <w:adjustRightInd w:val="0"/>
              <w:jc w:val="center"/>
              <w:rPr>
                <w:rFonts w:ascii="宋体" w:hAnsi="宋体"/>
                <w:kern w:val="0"/>
                <w:sz w:val="24"/>
              </w:rPr>
            </w:pPr>
            <w:r>
              <w:rPr>
                <w:rFonts w:ascii="宋体" w:hAnsi="宋体" w:cs="宋体"/>
                <w:sz w:val="24"/>
              </w:rPr>
              <w:t>风险提示</w:t>
            </w:r>
          </w:p>
        </w:tc>
        <w:tc>
          <w:tcPr>
            <w:tcW w:w="6584" w:type="dxa"/>
            <w:vAlign w:val="center"/>
          </w:tcPr>
          <w:p w14:paraId="2E16D450">
            <w:pPr>
              <w:autoSpaceDE w:val="0"/>
              <w:autoSpaceDN w:val="0"/>
              <w:adjustRightInd w:val="0"/>
              <w:rPr>
                <w:rFonts w:ascii="宋体" w:hAnsi="宋体"/>
                <w:kern w:val="0"/>
                <w:sz w:val="24"/>
              </w:rPr>
            </w:pPr>
            <w:r>
              <w:rPr>
                <w:rFonts w:ascii="宋体" w:hAnsi="宋体" w:cs="宋体"/>
                <w:sz w:val="24"/>
              </w:rPr>
              <w:t>本次投资者调研会如涉及对行业的预测、公司发展战略规划等相关内容，不</w:t>
            </w:r>
            <w:r>
              <w:rPr>
                <w:rFonts w:hint="eastAsia" w:ascii="宋体" w:hAnsi="宋体" w:cs="宋体"/>
                <w:sz w:val="24"/>
              </w:rPr>
              <w:t>作为</w:t>
            </w:r>
            <w:r>
              <w:rPr>
                <w:rFonts w:ascii="宋体" w:hAnsi="宋体" w:cs="宋体"/>
                <w:sz w:val="24"/>
              </w:rPr>
              <w:t>公司或管理层对行业及公司发展或业绩的保证，公司将根据相关要求及时履行相关信息披露义务，敬请广大投资者注意投资风险。</w:t>
            </w:r>
          </w:p>
        </w:tc>
      </w:tr>
    </w:tbl>
    <w:p w14:paraId="501D726A">
      <w:pPr>
        <w:rPr>
          <w:rFonts w:ascii="宋体" w:hAnsi="宋体" w:cs="黑体"/>
          <w:kern w:val="0"/>
          <w:sz w:val="28"/>
          <w:szCs w:val="28"/>
        </w:rPr>
      </w:pPr>
    </w:p>
    <w:sectPr>
      <w:headerReference r:id="rId3" w:type="first"/>
      <w:footerReference r:id="rId5" w:type="first"/>
      <w:footerReference r:id="rId4" w:type="default"/>
      <w:pgSz w:w="11906" w:h="16838"/>
      <w:pgMar w:top="1304" w:right="1797" w:bottom="1304" w:left="1797"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5B309">
    <w:pPr>
      <w:pStyle w:val="4"/>
      <w:jc w:val="center"/>
    </w:pPr>
    <w:r>
      <w:rPr>
        <w:lang w:val="zh-CN"/>
      </w:rPr>
      <w:t xml:space="preserve"> </w:t>
    </w:r>
    <w:r>
      <w:rPr>
        <w:b/>
        <w:sz w:val="24"/>
        <w:szCs w:val="24"/>
      </w:rPr>
      <w:fldChar w:fldCharType="begin"/>
    </w:r>
    <w:r>
      <w:rPr>
        <w:b/>
      </w:rPr>
      <w:instrText xml:space="preserve">PAGE</w:instrText>
    </w:r>
    <w:r>
      <w:rPr>
        <w:b/>
        <w:sz w:val="24"/>
        <w:szCs w:val="24"/>
      </w:rPr>
      <w:fldChar w:fldCharType="separate"/>
    </w:r>
    <w:r>
      <w:rPr>
        <w:b/>
      </w:rPr>
      <w:t>6</w:t>
    </w:r>
    <w:r>
      <w:rPr>
        <w:b/>
        <w:sz w:val="24"/>
        <w:szCs w:val="24"/>
      </w:rPr>
      <w:fldChar w:fldCharType="end"/>
    </w:r>
    <w:r>
      <w:rPr>
        <w:lang w:val="zh-CN"/>
      </w:rPr>
      <w:t xml:space="preserve"> / </w:t>
    </w:r>
    <w:r>
      <w:rPr>
        <w:b/>
        <w:sz w:val="24"/>
        <w:szCs w:val="24"/>
      </w:rPr>
      <w:fldChar w:fldCharType="begin"/>
    </w:r>
    <w:r>
      <w:rPr>
        <w:b/>
      </w:rPr>
      <w:instrText xml:space="preserve">NUMPAGES</w:instrText>
    </w:r>
    <w:r>
      <w:rPr>
        <w:b/>
        <w:sz w:val="24"/>
        <w:szCs w:val="24"/>
      </w:rPr>
      <w:fldChar w:fldCharType="separate"/>
    </w:r>
    <w:r>
      <w:rPr>
        <w:b/>
      </w:rPr>
      <w:t>6</w:t>
    </w:r>
    <w:r>
      <w:rPr>
        <w:b/>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1C455">
    <w:pPr>
      <w:pStyle w:val="4"/>
      <w:jc w:val="center"/>
    </w:pPr>
    <w:r>
      <w:t xml:space="preserve">- </w:t>
    </w:r>
    <w:r>
      <w:rPr>
        <w:rStyle w:val="10"/>
      </w:rPr>
      <w:fldChar w:fldCharType="begin"/>
    </w:r>
    <w:r>
      <w:rPr>
        <w:rStyle w:val="10"/>
      </w:rPr>
      <w:instrText xml:space="preserve"> PAGE </w:instrText>
    </w:r>
    <w:r>
      <w:rPr>
        <w:rStyle w:val="10"/>
      </w:rPr>
      <w:fldChar w:fldCharType="separate"/>
    </w:r>
    <w:r>
      <w:rPr>
        <w:rStyle w:val="10"/>
      </w:rPr>
      <w:t>1</w:t>
    </w:r>
    <w:r>
      <w:rPr>
        <w:rStyle w:val="10"/>
      </w:rPr>
      <w:fldChar w:fldCharType="end"/>
    </w:r>
    <w:r>
      <w:rPr>
        <w:rStyle w:val="10"/>
      </w:rPr>
      <w:t xml:space="preserve"> -</w:t>
    </w:r>
  </w:p>
  <w:p w14:paraId="474948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C8598">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88BEE2"/>
    <w:multiLevelType w:val="singleLevel"/>
    <w:tmpl w:val="6788BEE2"/>
    <w:lvl w:ilvl="0" w:tentative="0">
      <w:start w:val="2"/>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720"/>
  <w:drawingGridHorizontalSpacing w:val="120"/>
  <w:drawingGridVerticalSpacing w:val="120"/>
  <w:doNotUseMarginsForDrawingGridOrigin w:val="1"/>
  <w:drawingGridHorizontalOrigin w:val="1800"/>
  <w:drawingGridVerticalOrigin w:val="1440"/>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c3MGM0NTg2NDljZmY5YWI3MGE1M2U4MTc0OWE0YWIifQ=="/>
  </w:docVars>
  <w:rsids>
    <w:rsidRoot w:val="00AA53F6"/>
    <w:rsid w:val="00001558"/>
    <w:rsid w:val="00003616"/>
    <w:rsid w:val="00004E53"/>
    <w:rsid w:val="000102A0"/>
    <w:rsid w:val="00011AD5"/>
    <w:rsid w:val="00012E29"/>
    <w:rsid w:val="00013DC6"/>
    <w:rsid w:val="000149FF"/>
    <w:rsid w:val="000167C8"/>
    <w:rsid w:val="00025E29"/>
    <w:rsid w:val="00032E47"/>
    <w:rsid w:val="000348BF"/>
    <w:rsid w:val="0004252E"/>
    <w:rsid w:val="00044CE2"/>
    <w:rsid w:val="00046CCA"/>
    <w:rsid w:val="00047C1C"/>
    <w:rsid w:val="000539F7"/>
    <w:rsid w:val="000546D2"/>
    <w:rsid w:val="00055C59"/>
    <w:rsid w:val="00057EAE"/>
    <w:rsid w:val="000616ED"/>
    <w:rsid w:val="00063E04"/>
    <w:rsid w:val="00063F0A"/>
    <w:rsid w:val="00066EB2"/>
    <w:rsid w:val="000708F0"/>
    <w:rsid w:val="00070C9B"/>
    <w:rsid w:val="000727BF"/>
    <w:rsid w:val="00074D3F"/>
    <w:rsid w:val="00080DB4"/>
    <w:rsid w:val="00082F41"/>
    <w:rsid w:val="0008605C"/>
    <w:rsid w:val="0009386A"/>
    <w:rsid w:val="00093E67"/>
    <w:rsid w:val="00096874"/>
    <w:rsid w:val="00096ACF"/>
    <w:rsid w:val="00097871"/>
    <w:rsid w:val="000A1956"/>
    <w:rsid w:val="000B2347"/>
    <w:rsid w:val="000B2457"/>
    <w:rsid w:val="000B6CB3"/>
    <w:rsid w:val="000B75E2"/>
    <w:rsid w:val="000C2A34"/>
    <w:rsid w:val="000C765A"/>
    <w:rsid w:val="000D0600"/>
    <w:rsid w:val="000D3B07"/>
    <w:rsid w:val="000D5DF7"/>
    <w:rsid w:val="000D799E"/>
    <w:rsid w:val="000E37B6"/>
    <w:rsid w:val="000E57CE"/>
    <w:rsid w:val="000E7E7E"/>
    <w:rsid w:val="000F0443"/>
    <w:rsid w:val="000F084A"/>
    <w:rsid w:val="000F25A5"/>
    <w:rsid w:val="000F6D25"/>
    <w:rsid w:val="000F73C9"/>
    <w:rsid w:val="0010684D"/>
    <w:rsid w:val="00112CC1"/>
    <w:rsid w:val="001137DF"/>
    <w:rsid w:val="0012161F"/>
    <w:rsid w:val="00121AF2"/>
    <w:rsid w:val="00122010"/>
    <w:rsid w:val="0012383E"/>
    <w:rsid w:val="00127A08"/>
    <w:rsid w:val="0013163B"/>
    <w:rsid w:val="001367E3"/>
    <w:rsid w:val="00144672"/>
    <w:rsid w:val="00153200"/>
    <w:rsid w:val="00153260"/>
    <w:rsid w:val="00153C92"/>
    <w:rsid w:val="00153CE2"/>
    <w:rsid w:val="00155111"/>
    <w:rsid w:val="00155801"/>
    <w:rsid w:val="00157CF3"/>
    <w:rsid w:val="00161388"/>
    <w:rsid w:val="00170EE6"/>
    <w:rsid w:val="0017229B"/>
    <w:rsid w:val="00172F14"/>
    <w:rsid w:val="001739B7"/>
    <w:rsid w:val="00173B41"/>
    <w:rsid w:val="00176017"/>
    <w:rsid w:val="00176637"/>
    <w:rsid w:val="00177B24"/>
    <w:rsid w:val="00187E2D"/>
    <w:rsid w:val="00194145"/>
    <w:rsid w:val="001957FC"/>
    <w:rsid w:val="00195A48"/>
    <w:rsid w:val="001969F7"/>
    <w:rsid w:val="001978EC"/>
    <w:rsid w:val="001A13BD"/>
    <w:rsid w:val="001A13C2"/>
    <w:rsid w:val="001A233F"/>
    <w:rsid w:val="001A28B1"/>
    <w:rsid w:val="001B214D"/>
    <w:rsid w:val="001B5FF2"/>
    <w:rsid w:val="001B7F7C"/>
    <w:rsid w:val="001C2C79"/>
    <w:rsid w:val="001C6650"/>
    <w:rsid w:val="001C695B"/>
    <w:rsid w:val="001D7016"/>
    <w:rsid w:val="001E40A8"/>
    <w:rsid w:val="001F3162"/>
    <w:rsid w:val="001F3698"/>
    <w:rsid w:val="001F7546"/>
    <w:rsid w:val="001F75C1"/>
    <w:rsid w:val="001F7DCC"/>
    <w:rsid w:val="00200223"/>
    <w:rsid w:val="00202823"/>
    <w:rsid w:val="00203129"/>
    <w:rsid w:val="00203634"/>
    <w:rsid w:val="00210C58"/>
    <w:rsid w:val="0021285C"/>
    <w:rsid w:val="00212C28"/>
    <w:rsid w:val="00215678"/>
    <w:rsid w:val="00220F30"/>
    <w:rsid w:val="002215C6"/>
    <w:rsid w:val="00221A2F"/>
    <w:rsid w:val="002226FD"/>
    <w:rsid w:val="00223382"/>
    <w:rsid w:val="00232E27"/>
    <w:rsid w:val="00234CBD"/>
    <w:rsid w:val="00234FC8"/>
    <w:rsid w:val="00237486"/>
    <w:rsid w:val="00245A1F"/>
    <w:rsid w:val="00256128"/>
    <w:rsid w:val="00266324"/>
    <w:rsid w:val="00272FBD"/>
    <w:rsid w:val="00275DF3"/>
    <w:rsid w:val="0027605D"/>
    <w:rsid w:val="00277B0A"/>
    <w:rsid w:val="00283B0B"/>
    <w:rsid w:val="00291181"/>
    <w:rsid w:val="00297CC8"/>
    <w:rsid w:val="002A0C59"/>
    <w:rsid w:val="002B49C9"/>
    <w:rsid w:val="002C10C4"/>
    <w:rsid w:val="002C168D"/>
    <w:rsid w:val="002C1759"/>
    <w:rsid w:val="002C18B0"/>
    <w:rsid w:val="002C39CF"/>
    <w:rsid w:val="002C6434"/>
    <w:rsid w:val="002C6474"/>
    <w:rsid w:val="002D122F"/>
    <w:rsid w:val="002D3196"/>
    <w:rsid w:val="002D3C1F"/>
    <w:rsid w:val="002D4A2F"/>
    <w:rsid w:val="002E310F"/>
    <w:rsid w:val="002E36DF"/>
    <w:rsid w:val="002E36FD"/>
    <w:rsid w:val="002E47B8"/>
    <w:rsid w:val="002E5F07"/>
    <w:rsid w:val="002F2B91"/>
    <w:rsid w:val="002F2F0B"/>
    <w:rsid w:val="002F7AED"/>
    <w:rsid w:val="00300551"/>
    <w:rsid w:val="003048CA"/>
    <w:rsid w:val="00304BDB"/>
    <w:rsid w:val="00304D8A"/>
    <w:rsid w:val="003050BA"/>
    <w:rsid w:val="00313DD9"/>
    <w:rsid w:val="00315E48"/>
    <w:rsid w:val="00321424"/>
    <w:rsid w:val="00327B7A"/>
    <w:rsid w:val="0033038B"/>
    <w:rsid w:val="00331A2B"/>
    <w:rsid w:val="00341A84"/>
    <w:rsid w:val="00343D3C"/>
    <w:rsid w:val="0034511F"/>
    <w:rsid w:val="003465EF"/>
    <w:rsid w:val="0035121D"/>
    <w:rsid w:val="00353141"/>
    <w:rsid w:val="003576D8"/>
    <w:rsid w:val="00361C0D"/>
    <w:rsid w:val="0036503C"/>
    <w:rsid w:val="00367740"/>
    <w:rsid w:val="00370C8B"/>
    <w:rsid w:val="003767A9"/>
    <w:rsid w:val="003811E1"/>
    <w:rsid w:val="003843AD"/>
    <w:rsid w:val="003855C1"/>
    <w:rsid w:val="003870BF"/>
    <w:rsid w:val="0039653E"/>
    <w:rsid w:val="003A1C68"/>
    <w:rsid w:val="003A2E32"/>
    <w:rsid w:val="003B14B9"/>
    <w:rsid w:val="003B3131"/>
    <w:rsid w:val="003C5857"/>
    <w:rsid w:val="003D089D"/>
    <w:rsid w:val="003D0D7B"/>
    <w:rsid w:val="003D1747"/>
    <w:rsid w:val="003D50FA"/>
    <w:rsid w:val="003D6191"/>
    <w:rsid w:val="003D6751"/>
    <w:rsid w:val="003E3E10"/>
    <w:rsid w:val="003E5DEA"/>
    <w:rsid w:val="003F16C8"/>
    <w:rsid w:val="003F3AFD"/>
    <w:rsid w:val="003F651B"/>
    <w:rsid w:val="003F6902"/>
    <w:rsid w:val="003F7D59"/>
    <w:rsid w:val="00400044"/>
    <w:rsid w:val="00400403"/>
    <w:rsid w:val="004070EB"/>
    <w:rsid w:val="0040780D"/>
    <w:rsid w:val="00410612"/>
    <w:rsid w:val="00415E84"/>
    <w:rsid w:val="0042097D"/>
    <w:rsid w:val="0042183B"/>
    <w:rsid w:val="0042698E"/>
    <w:rsid w:val="00426F3C"/>
    <w:rsid w:val="00427565"/>
    <w:rsid w:val="00430998"/>
    <w:rsid w:val="00431435"/>
    <w:rsid w:val="00432604"/>
    <w:rsid w:val="0043444B"/>
    <w:rsid w:val="00435852"/>
    <w:rsid w:val="00437637"/>
    <w:rsid w:val="00443BD2"/>
    <w:rsid w:val="00446682"/>
    <w:rsid w:val="00456F40"/>
    <w:rsid w:val="00457041"/>
    <w:rsid w:val="00457AAA"/>
    <w:rsid w:val="00463E96"/>
    <w:rsid w:val="00472492"/>
    <w:rsid w:val="0047276F"/>
    <w:rsid w:val="00473188"/>
    <w:rsid w:val="00475955"/>
    <w:rsid w:val="00475F01"/>
    <w:rsid w:val="0047622C"/>
    <w:rsid w:val="0048081E"/>
    <w:rsid w:val="004849DB"/>
    <w:rsid w:val="00485818"/>
    <w:rsid w:val="004960A6"/>
    <w:rsid w:val="0049713B"/>
    <w:rsid w:val="004A3F9B"/>
    <w:rsid w:val="004A7543"/>
    <w:rsid w:val="004B29FA"/>
    <w:rsid w:val="004B31BA"/>
    <w:rsid w:val="004C1E0F"/>
    <w:rsid w:val="004C53AF"/>
    <w:rsid w:val="004C766E"/>
    <w:rsid w:val="004D3371"/>
    <w:rsid w:val="004D4662"/>
    <w:rsid w:val="004D5E71"/>
    <w:rsid w:val="004E1877"/>
    <w:rsid w:val="004E194F"/>
    <w:rsid w:val="004E6371"/>
    <w:rsid w:val="004E674B"/>
    <w:rsid w:val="004E73E5"/>
    <w:rsid w:val="004F075B"/>
    <w:rsid w:val="004F30BD"/>
    <w:rsid w:val="004F6D1D"/>
    <w:rsid w:val="0050146B"/>
    <w:rsid w:val="00507334"/>
    <w:rsid w:val="00513CBB"/>
    <w:rsid w:val="00514EBB"/>
    <w:rsid w:val="00515F0B"/>
    <w:rsid w:val="00516BC7"/>
    <w:rsid w:val="005225C4"/>
    <w:rsid w:val="00531958"/>
    <w:rsid w:val="00535C1F"/>
    <w:rsid w:val="00541A50"/>
    <w:rsid w:val="005518C5"/>
    <w:rsid w:val="00555F3A"/>
    <w:rsid w:val="00560E88"/>
    <w:rsid w:val="0056387D"/>
    <w:rsid w:val="005642B9"/>
    <w:rsid w:val="00567060"/>
    <w:rsid w:val="00567EC2"/>
    <w:rsid w:val="0057275B"/>
    <w:rsid w:val="0057555F"/>
    <w:rsid w:val="00575B4F"/>
    <w:rsid w:val="0057732F"/>
    <w:rsid w:val="00580352"/>
    <w:rsid w:val="00586B72"/>
    <w:rsid w:val="0059009F"/>
    <w:rsid w:val="00591C01"/>
    <w:rsid w:val="005972F3"/>
    <w:rsid w:val="00597A6E"/>
    <w:rsid w:val="005A0BD8"/>
    <w:rsid w:val="005A1762"/>
    <w:rsid w:val="005A7F0B"/>
    <w:rsid w:val="005B0F42"/>
    <w:rsid w:val="005B1F3C"/>
    <w:rsid w:val="005C0BE5"/>
    <w:rsid w:val="005C135A"/>
    <w:rsid w:val="005C1667"/>
    <w:rsid w:val="005C4D76"/>
    <w:rsid w:val="005D64E6"/>
    <w:rsid w:val="005D7D01"/>
    <w:rsid w:val="005E371B"/>
    <w:rsid w:val="005E4DB8"/>
    <w:rsid w:val="005F0355"/>
    <w:rsid w:val="005F28FB"/>
    <w:rsid w:val="005F2B21"/>
    <w:rsid w:val="005F3D34"/>
    <w:rsid w:val="005F3E28"/>
    <w:rsid w:val="005F500A"/>
    <w:rsid w:val="00600E76"/>
    <w:rsid w:val="006031BE"/>
    <w:rsid w:val="00605A65"/>
    <w:rsid w:val="006060BF"/>
    <w:rsid w:val="00606753"/>
    <w:rsid w:val="00607AA6"/>
    <w:rsid w:val="00616911"/>
    <w:rsid w:val="0062167E"/>
    <w:rsid w:val="00624F16"/>
    <w:rsid w:val="00633143"/>
    <w:rsid w:val="00634E40"/>
    <w:rsid w:val="006350D8"/>
    <w:rsid w:val="00641B45"/>
    <w:rsid w:val="006427F7"/>
    <w:rsid w:val="00647405"/>
    <w:rsid w:val="006522A3"/>
    <w:rsid w:val="00653E25"/>
    <w:rsid w:val="0065727D"/>
    <w:rsid w:val="006577AE"/>
    <w:rsid w:val="00657A82"/>
    <w:rsid w:val="00657BB7"/>
    <w:rsid w:val="006623CA"/>
    <w:rsid w:val="00662F6D"/>
    <w:rsid w:val="00664186"/>
    <w:rsid w:val="00664592"/>
    <w:rsid w:val="00674142"/>
    <w:rsid w:val="00681427"/>
    <w:rsid w:val="00682C29"/>
    <w:rsid w:val="00694BE7"/>
    <w:rsid w:val="00696D58"/>
    <w:rsid w:val="006975CF"/>
    <w:rsid w:val="006A1CA1"/>
    <w:rsid w:val="006A5769"/>
    <w:rsid w:val="006A64B0"/>
    <w:rsid w:val="006A7878"/>
    <w:rsid w:val="006B31DD"/>
    <w:rsid w:val="006B4267"/>
    <w:rsid w:val="006B630F"/>
    <w:rsid w:val="006C0103"/>
    <w:rsid w:val="006C17FF"/>
    <w:rsid w:val="006C2964"/>
    <w:rsid w:val="006C2FBD"/>
    <w:rsid w:val="006C31D5"/>
    <w:rsid w:val="006C3FE2"/>
    <w:rsid w:val="006C506E"/>
    <w:rsid w:val="006C6585"/>
    <w:rsid w:val="006D1871"/>
    <w:rsid w:val="006D3138"/>
    <w:rsid w:val="006D7993"/>
    <w:rsid w:val="006E0847"/>
    <w:rsid w:val="006E33B7"/>
    <w:rsid w:val="006F17FA"/>
    <w:rsid w:val="006F1D3C"/>
    <w:rsid w:val="00704A7B"/>
    <w:rsid w:val="007118DF"/>
    <w:rsid w:val="0071220C"/>
    <w:rsid w:val="00712535"/>
    <w:rsid w:val="00712B3B"/>
    <w:rsid w:val="00715181"/>
    <w:rsid w:val="00722DCC"/>
    <w:rsid w:val="007264CB"/>
    <w:rsid w:val="00731A62"/>
    <w:rsid w:val="00735B69"/>
    <w:rsid w:val="00745291"/>
    <w:rsid w:val="007466A0"/>
    <w:rsid w:val="00750406"/>
    <w:rsid w:val="0075371B"/>
    <w:rsid w:val="00754FB9"/>
    <w:rsid w:val="007569F0"/>
    <w:rsid w:val="007601B3"/>
    <w:rsid w:val="00760B5E"/>
    <w:rsid w:val="007611CE"/>
    <w:rsid w:val="00761448"/>
    <w:rsid w:val="007614C5"/>
    <w:rsid w:val="00766F0B"/>
    <w:rsid w:val="00773944"/>
    <w:rsid w:val="00774033"/>
    <w:rsid w:val="00776552"/>
    <w:rsid w:val="00776728"/>
    <w:rsid w:val="007768C7"/>
    <w:rsid w:val="007776AA"/>
    <w:rsid w:val="00785A95"/>
    <w:rsid w:val="00785AC9"/>
    <w:rsid w:val="00785D94"/>
    <w:rsid w:val="007921C5"/>
    <w:rsid w:val="0079331E"/>
    <w:rsid w:val="007959C9"/>
    <w:rsid w:val="007967EB"/>
    <w:rsid w:val="007A06A3"/>
    <w:rsid w:val="007A1B19"/>
    <w:rsid w:val="007A5B33"/>
    <w:rsid w:val="007B384E"/>
    <w:rsid w:val="007B50DD"/>
    <w:rsid w:val="007B7063"/>
    <w:rsid w:val="007C3873"/>
    <w:rsid w:val="007C72CE"/>
    <w:rsid w:val="007D05CD"/>
    <w:rsid w:val="007D0729"/>
    <w:rsid w:val="007D4EA1"/>
    <w:rsid w:val="007D7222"/>
    <w:rsid w:val="007D7676"/>
    <w:rsid w:val="007E04FA"/>
    <w:rsid w:val="007E28C1"/>
    <w:rsid w:val="007E79F7"/>
    <w:rsid w:val="007F37F5"/>
    <w:rsid w:val="007F4B92"/>
    <w:rsid w:val="007F5E30"/>
    <w:rsid w:val="007F7390"/>
    <w:rsid w:val="007F759A"/>
    <w:rsid w:val="008000BE"/>
    <w:rsid w:val="00802421"/>
    <w:rsid w:val="008050A0"/>
    <w:rsid w:val="00807312"/>
    <w:rsid w:val="00810675"/>
    <w:rsid w:val="00813318"/>
    <w:rsid w:val="00815AF4"/>
    <w:rsid w:val="008205B5"/>
    <w:rsid w:val="00823E06"/>
    <w:rsid w:val="00826F75"/>
    <w:rsid w:val="008307A2"/>
    <w:rsid w:val="0083087D"/>
    <w:rsid w:val="008309D7"/>
    <w:rsid w:val="008313CC"/>
    <w:rsid w:val="00833E51"/>
    <w:rsid w:val="00840181"/>
    <w:rsid w:val="008411CB"/>
    <w:rsid w:val="008414F7"/>
    <w:rsid w:val="008419A2"/>
    <w:rsid w:val="0084473D"/>
    <w:rsid w:val="00845F34"/>
    <w:rsid w:val="00846382"/>
    <w:rsid w:val="0085407D"/>
    <w:rsid w:val="00857397"/>
    <w:rsid w:val="00861F70"/>
    <w:rsid w:val="00862DF3"/>
    <w:rsid w:val="00870CDB"/>
    <w:rsid w:val="0087295C"/>
    <w:rsid w:val="008749CE"/>
    <w:rsid w:val="00877A45"/>
    <w:rsid w:val="00877B59"/>
    <w:rsid w:val="00880B1B"/>
    <w:rsid w:val="00881800"/>
    <w:rsid w:val="00882A79"/>
    <w:rsid w:val="00883748"/>
    <w:rsid w:val="008A462B"/>
    <w:rsid w:val="008A6C3F"/>
    <w:rsid w:val="008B3DDC"/>
    <w:rsid w:val="008B68F0"/>
    <w:rsid w:val="008B72A8"/>
    <w:rsid w:val="008C2073"/>
    <w:rsid w:val="008C3527"/>
    <w:rsid w:val="008C4A18"/>
    <w:rsid w:val="008D237F"/>
    <w:rsid w:val="008D6515"/>
    <w:rsid w:val="008D737D"/>
    <w:rsid w:val="008E4086"/>
    <w:rsid w:val="008E6746"/>
    <w:rsid w:val="008E6C29"/>
    <w:rsid w:val="008E7D2F"/>
    <w:rsid w:val="008F079A"/>
    <w:rsid w:val="008F4369"/>
    <w:rsid w:val="008F7E6D"/>
    <w:rsid w:val="00901472"/>
    <w:rsid w:val="009042E7"/>
    <w:rsid w:val="009063DE"/>
    <w:rsid w:val="00907EA4"/>
    <w:rsid w:val="0091048F"/>
    <w:rsid w:val="00910CFD"/>
    <w:rsid w:val="009121F5"/>
    <w:rsid w:val="00916129"/>
    <w:rsid w:val="009165F7"/>
    <w:rsid w:val="00922CCC"/>
    <w:rsid w:val="00927205"/>
    <w:rsid w:val="009306FB"/>
    <w:rsid w:val="00930F7C"/>
    <w:rsid w:val="00931FC8"/>
    <w:rsid w:val="00933C76"/>
    <w:rsid w:val="009367E6"/>
    <w:rsid w:val="0094149A"/>
    <w:rsid w:val="00943376"/>
    <w:rsid w:val="009445B2"/>
    <w:rsid w:val="00947011"/>
    <w:rsid w:val="00950010"/>
    <w:rsid w:val="00950A29"/>
    <w:rsid w:val="00952384"/>
    <w:rsid w:val="00952A52"/>
    <w:rsid w:val="00954BBB"/>
    <w:rsid w:val="009554F7"/>
    <w:rsid w:val="00961C1B"/>
    <w:rsid w:val="00966CDC"/>
    <w:rsid w:val="00972111"/>
    <w:rsid w:val="00973307"/>
    <w:rsid w:val="00981DA6"/>
    <w:rsid w:val="00984CAB"/>
    <w:rsid w:val="00984DBF"/>
    <w:rsid w:val="009909B2"/>
    <w:rsid w:val="009A0FD6"/>
    <w:rsid w:val="009A122A"/>
    <w:rsid w:val="009A3138"/>
    <w:rsid w:val="009A5868"/>
    <w:rsid w:val="009A633F"/>
    <w:rsid w:val="009A66E4"/>
    <w:rsid w:val="009B4482"/>
    <w:rsid w:val="009B5439"/>
    <w:rsid w:val="009B7A89"/>
    <w:rsid w:val="009C02F4"/>
    <w:rsid w:val="009C117F"/>
    <w:rsid w:val="009C3083"/>
    <w:rsid w:val="009D55F1"/>
    <w:rsid w:val="009E00C3"/>
    <w:rsid w:val="009E1057"/>
    <w:rsid w:val="009E343B"/>
    <w:rsid w:val="009E72F7"/>
    <w:rsid w:val="009F0322"/>
    <w:rsid w:val="009F26CA"/>
    <w:rsid w:val="009F2C93"/>
    <w:rsid w:val="00A025B9"/>
    <w:rsid w:val="00A0319C"/>
    <w:rsid w:val="00A038A7"/>
    <w:rsid w:val="00A12CFB"/>
    <w:rsid w:val="00A14C30"/>
    <w:rsid w:val="00A14FCB"/>
    <w:rsid w:val="00A175D3"/>
    <w:rsid w:val="00A20949"/>
    <w:rsid w:val="00A20E06"/>
    <w:rsid w:val="00A22876"/>
    <w:rsid w:val="00A24073"/>
    <w:rsid w:val="00A34F5F"/>
    <w:rsid w:val="00A40867"/>
    <w:rsid w:val="00A437EA"/>
    <w:rsid w:val="00A45BF1"/>
    <w:rsid w:val="00A53B4E"/>
    <w:rsid w:val="00A552F3"/>
    <w:rsid w:val="00A5683C"/>
    <w:rsid w:val="00A5739F"/>
    <w:rsid w:val="00A578DA"/>
    <w:rsid w:val="00A60727"/>
    <w:rsid w:val="00A62D25"/>
    <w:rsid w:val="00A630D3"/>
    <w:rsid w:val="00A63E52"/>
    <w:rsid w:val="00A67EAD"/>
    <w:rsid w:val="00A70B1D"/>
    <w:rsid w:val="00A75775"/>
    <w:rsid w:val="00A77B3B"/>
    <w:rsid w:val="00A77DA5"/>
    <w:rsid w:val="00A81457"/>
    <w:rsid w:val="00A8210E"/>
    <w:rsid w:val="00A83C75"/>
    <w:rsid w:val="00A928A6"/>
    <w:rsid w:val="00AA0985"/>
    <w:rsid w:val="00AA33EA"/>
    <w:rsid w:val="00AA368E"/>
    <w:rsid w:val="00AA396E"/>
    <w:rsid w:val="00AA53F6"/>
    <w:rsid w:val="00AA5B55"/>
    <w:rsid w:val="00AB19AB"/>
    <w:rsid w:val="00AB1E36"/>
    <w:rsid w:val="00AC19FA"/>
    <w:rsid w:val="00AC1DD3"/>
    <w:rsid w:val="00AC34C2"/>
    <w:rsid w:val="00AC3B98"/>
    <w:rsid w:val="00AC424E"/>
    <w:rsid w:val="00AC51A1"/>
    <w:rsid w:val="00AC5CB0"/>
    <w:rsid w:val="00AD0FAC"/>
    <w:rsid w:val="00AD78AF"/>
    <w:rsid w:val="00AE0500"/>
    <w:rsid w:val="00AE0B7A"/>
    <w:rsid w:val="00AE0EE1"/>
    <w:rsid w:val="00AE196A"/>
    <w:rsid w:val="00AE277C"/>
    <w:rsid w:val="00AE3853"/>
    <w:rsid w:val="00AE5677"/>
    <w:rsid w:val="00AF1240"/>
    <w:rsid w:val="00AF2564"/>
    <w:rsid w:val="00AF3451"/>
    <w:rsid w:val="00AF36E3"/>
    <w:rsid w:val="00AF395D"/>
    <w:rsid w:val="00AF4AEC"/>
    <w:rsid w:val="00AF62FB"/>
    <w:rsid w:val="00B10880"/>
    <w:rsid w:val="00B14993"/>
    <w:rsid w:val="00B149FE"/>
    <w:rsid w:val="00B153F7"/>
    <w:rsid w:val="00B175F2"/>
    <w:rsid w:val="00B2297B"/>
    <w:rsid w:val="00B23E7B"/>
    <w:rsid w:val="00B25AE3"/>
    <w:rsid w:val="00B31A74"/>
    <w:rsid w:val="00B31AD1"/>
    <w:rsid w:val="00B32C6B"/>
    <w:rsid w:val="00B339BA"/>
    <w:rsid w:val="00B34C8C"/>
    <w:rsid w:val="00B3621F"/>
    <w:rsid w:val="00B368B4"/>
    <w:rsid w:val="00B3766A"/>
    <w:rsid w:val="00B41CF4"/>
    <w:rsid w:val="00B44347"/>
    <w:rsid w:val="00B44505"/>
    <w:rsid w:val="00B45440"/>
    <w:rsid w:val="00B5127F"/>
    <w:rsid w:val="00B51AC6"/>
    <w:rsid w:val="00B528B8"/>
    <w:rsid w:val="00B55F41"/>
    <w:rsid w:val="00B6071D"/>
    <w:rsid w:val="00B63132"/>
    <w:rsid w:val="00B63B93"/>
    <w:rsid w:val="00B64AA9"/>
    <w:rsid w:val="00B70C28"/>
    <w:rsid w:val="00B77C04"/>
    <w:rsid w:val="00B82370"/>
    <w:rsid w:val="00B8491C"/>
    <w:rsid w:val="00B861ED"/>
    <w:rsid w:val="00B8655F"/>
    <w:rsid w:val="00B870FD"/>
    <w:rsid w:val="00B9025C"/>
    <w:rsid w:val="00B91A7E"/>
    <w:rsid w:val="00B93000"/>
    <w:rsid w:val="00B933B4"/>
    <w:rsid w:val="00BA0FF9"/>
    <w:rsid w:val="00BA1575"/>
    <w:rsid w:val="00BA6C45"/>
    <w:rsid w:val="00BB011D"/>
    <w:rsid w:val="00BB3CB1"/>
    <w:rsid w:val="00BB609B"/>
    <w:rsid w:val="00BB771C"/>
    <w:rsid w:val="00BC1DBD"/>
    <w:rsid w:val="00BC2B84"/>
    <w:rsid w:val="00BC5BAF"/>
    <w:rsid w:val="00BC68BF"/>
    <w:rsid w:val="00BD20E6"/>
    <w:rsid w:val="00BD2535"/>
    <w:rsid w:val="00BD2C2F"/>
    <w:rsid w:val="00BD2CF7"/>
    <w:rsid w:val="00BE0A85"/>
    <w:rsid w:val="00BE46B5"/>
    <w:rsid w:val="00BE4E7E"/>
    <w:rsid w:val="00BE7735"/>
    <w:rsid w:val="00BF4891"/>
    <w:rsid w:val="00BF4BBC"/>
    <w:rsid w:val="00BF7D86"/>
    <w:rsid w:val="00C07040"/>
    <w:rsid w:val="00C11052"/>
    <w:rsid w:val="00C15A20"/>
    <w:rsid w:val="00C16C1F"/>
    <w:rsid w:val="00C16E96"/>
    <w:rsid w:val="00C17A94"/>
    <w:rsid w:val="00C17DAC"/>
    <w:rsid w:val="00C20391"/>
    <w:rsid w:val="00C235F6"/>
    <w:rsid w:val="00C25035"/>
    <w:rsid w:val="00C27247"/>
    <w:rsid w:val="00C3094B"/>
    <w:rsid w:val="00C318DD"/>
    <w:rsid w:val="00C31B2B"/>
    <w:rsid w:val="00C34460"/>
    <w:rsid w:val="00C352F7"/>
    <w:rsid w:val="00C425B1"/>
    <w:rsid w:val="00C43BC5"/>
    <w:rsid w:val="00C4642D"/>
    <w:rsid w:val="00C47737"/>
    <w:rsid w:val="00C54016"/>
    <w:rsid w:val="00C55B17"/>
    <w:rsid w:val="00C612B4"/>
    <w:rsid w:val="00C653B2"/>
    <w:rsid w:val="00C72D84"/>
    <w:rsid w:val="00C73934"/>
    <w:rsid w:val="00C74BED"/>
    <w:rsid w:val="00C76135"/>
    <w:rsid w:val="00C76355"/>
    <w:rsid w:val="00C770FA"/>
    <w:rsid w:val="00C8374A"/>
    <w:rsid w:val="00C8798F"/>
    <w:rsid w:val="00C91942"/>
    <w:rsid w:val="00C91BB0"/>
    <w:rsid w:val="00C97802"/>
    <w:rsid w:val="00CA0761"/>
    <w:rsid w:val="00CA3C01"/>
    <w:rsid w:val="00CB07C5"/>
    <w:rsid w:val="00CB0B28"/>
    <w:rsid w:val="00CB29D0"/>
    <w:rsid w:val="00CB685F"/>
    <w:rsid w:val="00CC492C"/>
    <w:rsid w:val="00CD06CA"/>
    <w:rsid w:val="00CD1BC6"/>
    <w:rsid w:val="00CD3967"/>
    <w:rsid w:val="00CD48E3"/>
    <w:rsid w:val="00CD619F"/>
    <w:rsid w:val="00CE093D"/>
    <w:rsid w:val="00CE0975"/>
    <w:rsid w:val="00CE575E"/>
    <w:rsid w:val="00CF01AB"/>
    <w:rsid w:val="00CF173A"/>
    <w:rsid w:val="00CF26D9"/>
    <w:rsid w:val="00CF365D"/>
    <w:rsid w:val="00CF37F4"/>
    <w:rsid w:val="00CF6F9B"/>
    <w:rsid w:val="00D00B94"/>
    <w:rsid w:val="00D01757"/>
    <w:rsid w:val="00D01981"/>
    <w:rsid w:val="00D02F8E"/>
    <w:rsid w:val="00D04ADD"/>
    <w:rsid w:val="00D05DB7"/>
    <w:rsid w:val="00D12233"/>
    <w:rsid w:val="00D126BB"/>
    <w:rsid w:val="00D2038A"/>
    <w:rsid w:val="00D23F4E"/>
    <w:rsid w:val="00D26FB9"/>
    <w:rsid w:val="00D30288"/>
    <w:rsid w:val="00D32235"/>
    <w:rsid w:val="00D32276"/>
    <w:rsid w:val="00D32C83"/>
    <w:rsid w:val="00D444BC"/>
    <w:rsid w:val="00D450C1"/>
    <w:rsid w:val="00D45D09"/>
    <w:rsid w:val="00D47349"/>
    <w:rsid w:val="00D47B51"/>
    <w:rsid w:val="00D511A1"/>
    <w:rsid w:val="00D52BEE"/>
    <w:rsid w:val="00D5697F"/>
    <w:rsid w:val="00D57769"/>
    <w:rsid w:val="00D64FE1"/>
    <w:rsid w:val="00D65663"/>
    <w:rsid w:val="00D6761A"/>
    <w:rsid w:val="00D67703"/>
    <w:rsid w:val="00D70AF8"/>
    <w:rsid w:val="00D7157D"/>
    <w:rsid w:val="00D72142"/>
    <w:rsid w:val="00D75F52"/>
    <w:rsid w:val="00D75FF8"/>
    <w:rsid w:val="00D77230"/>
    <w:rsid w:val="00D77374"/>
    <w:rsid w:val="00D81D9D"/>
    <w:rsid w:val="00D83E20"/>
    <w:rsid w:val="00D86C02"/>
    <w:rsid w:val="00D86E73"/>
    <w:rsid w:val="00D8734B"/>
    <w:rsid w:val="00D90DF0"/>
    <w:rsid w:val="00D91DCE"/>
    <w:rsid w:val="00D94709"/>
    <w:rsid w:val="00D94D11"/>
    <w:rsid w:val="00D97C82"/>
    <w:rsid w:val="00DA4AD4"/>
    <w:rsid w:val="00DB1147"/>
    <w:rsid w:val="00DB4B7A"/>
    <w:rsid w:val="00DB52C7"/>
    <w:rsid w:val="00DB64F6"/>
    <w:rsid w:val="00DB7577"/>
    <w:rsid w:val="00DB7B54"/>
    <w:rsid w:val="00DC135D"/>
    <w:rsid w:val="00DC32C9"/>
    <w:rsid w:val="00DC34EF"/>
    <w:rsid w:val="00DC70C0"/>
    <w:rsid w:val="00DD0095"/>
    <w:rsid w:val="00DD291D"/>
    <w:rsid w:val="00DD40FA"/>
    <w:rsid w:val="00DD6DF8"/>
    <w:rsid w:val="00DE0554"/>
    <w:rsid w:val="00DE34A4"/>
    <w:rsid w:val="00DE5275"/>
    <w:rsid w:val="00DE59B3"/>
    <w:rsid w:val="00DF004F"/>
    <w:rsid w:val="00DF228A"/>
    <w:rsid w:val="00DF24CB"/>
    <w:rsid w:val="00DF27AF"/>
    <w:rsid w:val="00DF7DD1"/>
    <w:rsid w:val="00E02FDD"/>
    <w:rsid w:val="00E03494"/>
    <w:rsid w:val="00E03D83"/>
    <w:rsid w:val="00E04ECA"/>
    <w:rsid w:val="00E04FD8"/>
    <w:rsid w:val="00E055E3"/>
    <w:rsid w:val="00E10267"/>
    <w:rsid w:val="00E14707"/>
    <w:rsid w:val="00E21644"/>
    <w:rsid w:val="00E22146"/>
    <w:rsid w:val="00E24D9E"/>
    <w:rsid w:val="00E2717F"/>
    <w:rsid w:val="00E3000C"/>
    <w:rsid w:val="00E37027"/>
    <w:rsid w:val="00E44A97"/>
    <w:rsid w:val="00E44FFC"/>
    <w:rsid w:val="00E478C6"/>
    <w:rsid w:val="00E47901"/>
    <w:rsid w:val="00E507D7"/>
    <w:rsid w:val="00E50ACC"/>
    <w:rsid w:val="00E50B79"/>
    <w:rsid w:val="00E56E15"/>
    <w:rsid w:val="00E57193"/>
    <w:rsid w:val="00E71F08"/>
    <w:rsid w:val="00E72854"/>
    <w:rsid w:val="00E73E72"/>
    <w:rsid w:val="00E81970"/>
    <w:rsid w:val="00E850B3"/>
    <w:rsid w:val="00E87B15"/>
    <w:rsid w:val="00E935E1"/>
    <w:rsid w:val="00E9794B"/>
    <w:rsid w:val="00EA41D2"/>
    <w:rsid w:val="00EA7FF3"/>
    <w:rsid w:val="00EB0522"/>
    <w:rsid w:val="00EB1B56"/>
    <w:rsid w:val="00EB3B1C"/>
    <w:rsid w:val="00EB413C"/>
    <w:rsid w:val="00EB49CA"/>
    <w:rsid w:val="00EC0CCC"/>
    <w:rsid w:val="00EC134E"/>
    <w:rsid w:val="00EC4071"/>
    <w:rsid w:val="00EC5341"/>
    <w:rsid w:val="00EC5654"/>
    <w:rsid w:val="00EC71A5"/>
    <w:rsid w:val="00ED12B1"/>
    <w:rsid w:val="00EF3C1F"/>
    <w:rsid w:val="00EF6D78"/>
    <w:rsid w:val="00F00611"/>
    <w:rsid w:val="00F11580"/>
    <w:rsid w:val="00F11B2A"/>
    <w:rsid w:val="00F131A2"/>
    <w:rsid w:val="00F14190"/>
    <w:rsid w:val="00F14897"/>
    <w:rsid w:val="00F2021B"/>
    <w:rsid w:val="00F218F9"/>
    <w:rsid w:val="00F36F7A"/>
    <w:rsid w:val="00F40113"/>
    <w:rsid w:val="00F41D37"/>
    <w:rsid w:val="00F4408B"/>
    <w:rsid w:val="00F44658"/>
    <w:rsid w:val="00F462BA"/>
    <w:rsid w:val="00F46AA5"/>
    <w:rsid w:val="00F46EBB"/>
    <w:rsid w:val="00F5109B"/>
    <w:rsid w:val="00F60F9D"/>
    <w:rsid w:val="00F61896"/>
    <w:rsid w:val="00F62703"/>
    <w:rsid w:val="00F65ED7"/>
    <w:rsid w:val="00F66574"/>
    <w:rsid w:val="00F673AF"/>
    <w:rsid w:val="00F7409D"/>
    <w:rsid w:val="00F7596E"/>
    <w:rsid w:val="00F75C37"/>
    <w:rsid w:val="00F8097A"/>
    <w:rsid w:val="00F8168C"/>
    <w:rsid w:val="00F81E1F"/>
    <w:rsid w:val="00F851A0"/>
    <w:rsid w:val="00F87ECC"/>
    <w:rsid w:val="00F9060C"/>
    <w:rsid w:val="00F92761"/>
    <w:rsid w:val="00F941F9"/>
    <w:rsid w:val="00F96BFF"/>
    <w:rsid w:val="00F97F4D"/>
    <w:rsid w:val="00FA2AA4"/>
    <w:rsid w:val="00FA4C40"/>
    <w:rsid w:val="00FA5062"/>
    <w:rsid w:val="00FA6ACE"/>
    <w:rsid w:val="00FB0278"/>
    <w:rsid w:val="00FB261B"/>
    <w:rsid w:val="00FB44E9"/>
    <w:rsid w:val="00FB4CB6"/>
    <w:rsid w:val="00FC671B"/>
    <w:rsid w:val="00FD4115"/>
    <w:rsid w:val="00FD4B4C"/>
    <w:rsid w:val="00FD4D02"/>
    <w:rsid w:val="00FE2BFD"/>
    <w:rsid w:val="00FE6A41"/>
    <w:rsid w:val="00FF0702"/>
    <w:rsid w:val="00FF1B92"/>
    <w:rsid w:val="00FF4F76"/>
    <w:rsid w:val="00FF61C3"/>
    <w:rsid w:val="00FF635B"/>
    <w:rsid w:val="01990D7D"/>
    <w:rsid w:val="0252489D"/>
    <w:rsid w:val="04A118EB"/>
    <w:rsid w:val="04C22C94"/>
    <w:rsid w:val="067803E8"/>
    <w:rsid w:val="06C4362D"/>
    <w:rsid w:val="06D35FA6"/>
    <w:rsid w:val="08122176"/>
    <w:rsid w:val="08C16076"/>
    <w:rsid w:val="0ACE46E9"/>
    <w:rsid w:val="0B3B6C26"/>
    <w:rsid w:val="0C032502"/>
    <w:rsid w:val="0C3F26AC"/>
    <w:rsid w:val="0CF43274"/>
    <w:rsid w:val="0E2E521A"/>
    <w:rsid w:val="0EF34030"/>
    <w:rsid w:val="0F7D62F1"/>
    <w:rsid w:val="0FBF18D9"/>
    <w:rsid w:val="109D3109"/>
    <w:rsid w:val="11B90BA4"/>
    <w:rsid w:val="127C4B61"/>
    <w:rsid w:val="1295604A"/>
    <w:rsid w:val="14052AFC"/>
    <w:rsid w:val="145558C5"/>
    <w:rsid w:val="14D507B4"/>
    <w:rsid w:val="14EC0437"/>
    <w:rsid w:val="155E5660"/>
    <w:rsid w:val="160733B1"/>
    <w:rsid w:val="16807CA1"/>
    <w:rsid w:val="16C31D13"/>
    <w:rsid w:val="172D4CD2"/>
    <w:rsid w:val="17AE57CA"/>
    <w:rsid w:val="17D13E3B"/>
    <w:rsid w:val="1830753E"/>
    <w:rsid w:val="18350D07"/>
    <w:rsid w:val="195645B9"/>
    <w:rsid w:val="199456FE"/>
    <w:rsid w:val="1A0503BE"/>
    <w:rsid w:val="1AEB195F"/>
    <w:rsid w:val="1BF82BF8"/>
    <w:rsid w:val="1C875518"/>
    <w:rsid w:val="1D5B74D1"/>
    <w:rsid w:val="1E253203"/>
    <w:rsid w:val="1EC3228F"/>
    <w:rsid w:val="1FA857BA"/>
    <w:rsid w:val="1FB85C2F"/>
    <w:rsid w:val="1FC23FDE"/>
    <w:rsid w:val="210001ED"/>
    <w:rsid w:val="226F5E57"/>
    <w:rsid w:val="22EA3B64"/>
    <w:rsid w:val="234206ED"/>
    <w:rsid w:val="23957B07"/>
    <w:rsid w:val="23A3664D"/>
    <w:rsid w:val="24C4581E"/>
    <w:rsid w:val="24D47D74"/>
    <w:rsid w:val="260F4B60"/>
    <w:rsid w:val="274B1614"/>
    <w:rsid w:val="29036758"/>
    <w:rsid w:val="2A764071"/>
    <w:rsid w:val="2BCA1106"/>
    <w:rsid w:val="2DF030C2"/>
    <w:rsid w:val="2E516CA5"/>
    <w:rsid w:val="2EEC73E6"/>
    <w:rsid w:val="2EF72186"/>
    <w:rsid w:val="30727E82"/>
    <w:rsid w:val="311234C2"/>
    <w:rsid w:val="317038E6"/>
    <w:rsid w:val="31805246"/>
    <w:rsid w:val="31914114"/>
    <w:rsid w:val="32807E34"/>
    <w:rsid w:val="3335516F"/>
    <w:rsid w:val="341D7D55"/>
    <w:rsid w:val="34C560C1"/>
    <w:rsid w:val="35747E49"/>
    <w:rsid w:val="35A617AC"/>
    <w:rsid w:val="37DE2F71"/>
    <w:rsid w:val="38D1110E"/>
    <w:rsid w:val="395B39CB"/>
    <w:rsid w:val="3B25797E"/>
    <w:rsid w:val="3B462FA8"/>
    <w:rsid w:val="3B491FD0"/>
    <w:rsid w:val="3B5C56D3"/>
    <w:rsid w:val="3BDD044C"/>
    <w:rsid w:val="3C4D0E95"/>
    <w:rsid w:val="3D3A1D95"/>
    <w:rsid w:val="3DF90A50"/>
    <w:rsid w:val="3EBD5BB9"/>
    <w:rsid w:val="3F9B06C8"/>
    <w:rsid w:val="404E0A6E"/>
    <w:rsid w:val="405E4E6F"/>
    <w:rsid w:val="409249F4"/>
    <w:rsid w:val="41471A12"/>
    <w:rsid w:val="415673F5"/>
    <w:rsid w:val="41832445"/>
    <w:rsid w:val="42750BB3"/>
    <w:rsid w:val="42CC02F6"/>
    <w:rsid w:val="4345472D"/>
    <w:rsid w:val="44C5565C"/>
    <w:rsid w:val="44FD11A6"/>
    <w:rsid w:val="45991206"/>
    <w:rsid w:val="47C167F2"/>
    <w:rsid w:val="482A192E"/>
    <w:rsid w:val="48EA44EC"/>
    <w:rsid w:val="498A77E3"/>
    <w:rsid w:val="4ACC7988"/>
    <w:rsid w:val="4B5F4912"/>
    <w:rsid w:val="4B7A240D"/>
    <w:rsid w:val="4BD671ED"/>
    <w:rsid w:val="4CB74DF6"/>
    <w:rsid w:val="4DAE04AD"/>
    <w:rsid w:val="4E7F7889"/>
    <w:rsid w:val="4E8A5B90"/>
    <w:rsid w:val="4EA0752B"/>
    <w:rsid w:val="4F107BBE"/>
    <w:rsid w:val="4FE439C5"/>
    <w:rsid w:val="504255CB"/>
    <w:rsid w:val="50991705"/>
    <w:rsid w:val="51854D4A"/>
    <w:rsid w:val="51AA602C"/>
    <w:rsid w:val="51E7154B"/>
    <w:rsid w:val="526D31C8"/>
    <w:rsid w:val="530F1EA0"/>
    <w:rsid w:val="53455429"/>
    <w:rsid w:val="53B45BBD"/>
    <w:rsid w:val="55314FB7"/>
    <w:rsid w:val="55C43A6D"/>
    <w:rsid w:val="568E4F0A"/>
    <w:rsid w:val="57BB14B0"/>
    <w:rsid w:val="581C6565"/>
    <w:rsid w:val="58262DCD"/>
    <w:rsid w:val="58DC487D"/>
    <w:rsid w:val="5A6776CD"/>
    <w:rsid w:val="5B113D5A"/>
    <w:rsid w:val="5C2652F1"/>
    <w:rsid w:val="5D1A0044"/>
    <w:rsid w:val="5D886403"/>
    <w:rsid w:val="5DAE78AC"/>
    <w:rsid w:val="5EAB6706"/>
    <w:rsid w:val="5F431895"/>
    <w:rsid w:val="60224DDA"/>
    <w:rsid w:val="61E74359"/>
    <w:rsid w:val="61F730E4"/>
    <w:rsid w:val="622E12C4"/>
    <w:rsid w:val="624D7788"/>
    <w:rsid w:val="629B2A65"/>
    <w:rsid w:val="629F48FF"/>
    <w:rsid w:val="643E4FFA"/>
    <w:rsid w:val="647C749F"/>
    <w:rsid w:val="65123962"/>
    <w:rsid w:val="657F3B1C"/>
    <w:rsid w:val="65F878D9"/>
    <w:rsid w:val="66326DE1"/>
    <w:rsid w:val="668D5F30"/>
    <w:rsid w:val="67647281"/>
    <w:rsid w:val="67CA0D59"/>
    <w:rsid w:val="68C3014D"/>
    <w:rsid w:val="69146619"/>
    <w:rsid w:val="69C67F6C"/>
    <w:rsid w:val="6B7248D5"/>
    <w:rsid w:val="6C522EA4"/>
    <w:rsid w:val="6CF27748"/>
    <w:rsid w:val="6E565636"/>
    <w:rsid w:val="6FE253D4"/>
    <w:rsid w:val="70AB7EBB"/>
    <w:rsid w:val="70DE2826"/>
    <w:rsid w:val="71383C98"/>
    <w:rsid w:val="71C166FA"/>
    <w:rsid w:val="7331488C"/>
    <w:rsid w:val="743B3304"/>
    <w:rsid w:val="744D3A4C"/>
    <w:rsid w:val="747607E0"/>
    <w:rsid w:val="74E80F7A"/>
    <w:rsid w:val="75795A4A"/>
    <w:rsid w:val="77275DC2"/>
    <w:rsid w:val="778642EA"/>
    <w:rsid w:val="779F2A68"/>
    <w:rsid w:val="77AB7580"/>
    <w:rsid w:val="77DF6A38"/>
    <w:rsid w:val="79072D81"/>
    <w:rsid w:val="792D0059"/>
    <w:rsid w:val="79D41376"/>
    <w:rsid w:val="7ABC4A73"/>
    <w:rsid w:val="7ABE1A2B"/>
    <w:rsid w:val="7B0957BE"/>
    <w:rsid w:val="7B752587"/>
    <w:rsid w:val="7C06244A"/>
    <w:rsid w:val="7C6069B0"/>
    <w:rsid w:val="7CC540B3"/>
    <w:rsid w:val="7CF73FE0"/>
    <w:rsid w:val="7D7E289B"/>
    <w:rsid w:val="7D8E227D"/>
    <w:rsid w:val="7DD60934"/>
    <w:rsid w:val="7EA763BD"/>
    <w:rsid w:val="7F9D3C66"/>
    <w:rsid w:val="7FB67325"/>
    <w:rsid w:val="7FC405AE"/>
    <w:rsid w:val="7FE01E90"/>
    <w:rsid w:val="7FEF79A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6"/>
    <w:unhideWhenUsed/>
    <w:qFormat/>
    <w:uiPriority w:val="99"/>
    <w:pPr>
      <w:jc w:val="left"/>
    </w:pPr>
  </w:style>
  <w:style w:type="paragraph" w:styleId="3">
    <w:name w:val="Balloon Text"/>
    <w:basedOn w:val="1"/>
    <w:link w:val="18"/>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7"/>
    <w:unhideWhenUsed/>
    <w:qFormat/>
    <w:uiPriority w:val="99"/>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styleId="11">
    <w:name w:val="annotation reference"/>
    <w:basedOn w:val="9"/>
    <w:unhideWhenUsed/>
    <w:qFormat/>
    <w:uiPriority w:val="99"/>
    <w:rPr>
      <w:sz w:val="21"/>
      <w:szCs w:val="21"/>
    </w:rPr>
  </w:style>
  <w:style w:type="character" w:customStyle="1" w:styleId="12">
    <w:name w:val="页眉 字符"/>
    <w:link w:val="5"/>
    <w:qFormat/>
    <w:uiPriority w:val="99"/>
    <w:rPr>
      <w:sz w:val="18"/>
      <w:szCs w:val="18"/>
    </w:rPr>
  </w:style>
  <w:style w:type="character" w:customStyle="1" w:styleId="13">
    <w:name w:val="页脚 字符"/>
    <w:link w:val="4"/>
    <w:qFormat/>
    <w:uiPriority w:val="99"/>
    <w:rPr>
      <w:sz w:val="18"/>
      <w:szCs w:val="18"/>
    </w:rPr>
  </w:style>
  <w:style w:type="paragraph" w:customStyle="1" w:styleId="14">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customStyle="1" w:styleId="15">
    <w:name w:val="List Paragraph"/>
    <w:basedOn w:val="1"/>
    <w:qFormat/>
    <w:uiPriority w:val="34"/>
    <w:pPr>
      <w:ind w:firstLine="420" w:firstLineChars="200"/>
    </w:pPr>
    <w:rPr>
      <w:rFonts w:ascii="等线" w:hAnsi="等线" w:eastAsia="等线"/>
      <w:szCs w:val="22"/>
    </w:rPr>
  </w:style>
  <w:style w:type="character" w:customStyle="1" w:styleId="16">
    <w:name w:val="批注文字 字符"/>
    <w:basedOn w:val="9"/>
    <w:link w:val="2"/>
    <w:semiHidden/>
    <w:qFormat/>
    <w:uiPriority w:val="99"/>
    <w:rPr>
      <w:kern w:val="2"/>
      <w:sz w:val="21"/>
      <w:szCs w:val="24"/>
    </w:rPr>
  </w:style>
  <w:style w:type="character" w:customStyle="1" w:styleId="17">
    <w:name w:val="批注主题 字符"/>
    <w:basedOn w:val="16"/>
    <w:link w:val="6"/>
    <w:semiHidden/>
    <w:qFormat/>
    <w:uiPriority w:val="99"/>
    <w:rPr>
      <w:b/>
      <w:bCs/>
      <w:kern w:val="2"/>
      <w:sz w:val="21"/>
      <w:szCs w:val="24"/>
    </w:rPr>
  </w:style>
  <w:style w:type="character" w:customStyle="1" w:styleId="18">
    <w:name w:val="批注框文本 字符"/>
    <w:basedOn w:val="9"/>
    <w:link w:val="3"/>
    <w:semiHidden/>
    <w:qFormat/>
    <w:uiPriority w:val="99"/>
    <w:rPr>
      <w:kern w:val="2"/>
      <w:sz w:val="18"/>
      <w:szCs w:val="18"/>
    </w:rPr>
  </w:style>
  <w:style w:type="character" w:customStyle="1" w:styleId="19">
    <w:name w:val="activekeyword"/>
    <w:basedOn w:val="9"/>
    <w:qFormat/>
    <w:uiPriority w:val="0"/>
  </w:style>
  <w:style w:type="character" w:customStyle="1" w:styleId="20">
    <w:name w:val="keyword"/>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5</Pages>
  <Words>53</Words>
  <Characters>65</Characters>
  <Lines>19</Lines>
  <Paragraphs>5</Paragraphs>
  <TotalTime>114</TotalTime>
  <ScaleCrop>false</ScaleCrop>
  <LinksUpToDate>false</LinksUpToDate>
  <CharactersWithSpaces>98</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2024-12-26T03:10:00Z</dcterms:created>
  <dc:creator>Wei</dc:creator>
  <cp:lastModifiedBy>阿依土拉雷 ♉️</cp:lastModifiedBy>
  <dcterms:modified xsi:type="dcterms:W3CDTF">2026-11-05T09:26:45Z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8EB00A1537A343C68E5C4F64FB00D1FB_13</vt:lpwstr>
  </property>
  <property fmtid="{D5CDD505-2E9C-101B-9397-08002B2CF9AE}" pid="4" name="KSOTemplateDocerSaveRecord">
    <vt:lpwstr>eyJoZGlkIjoiYWRhMjlkYjdiZmNlMjU0MWY5N2U1YTA3MjE1NGVlZmQiLCJ1c2VySWQiOiI3NDUyMjA5OTUifQ==</vt:lpwstr>
  </property>
</Properties>
</file>