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41702">
      <w:pPr>
        <w:pStyle w:val="2"/>
        <w:rPr>
          <w:rFonts w:hint="default" w:ascii="宋体" w:hAnsi="宋体" w:eastAsia="宋体" w:cs="宋体"/>
          <w:sz w:val="20"/>
          <w:szCs w:val="20"/>
          <w:lang w:val="en-US" w:eastAsia="zh-CN"/>
        </w:rPr>
      </w:pPr>
      <w:bookmarkStart w:id="0" w:name="_GoBack"/>
      <w:bookmarkEnd w:id="0"/>
      <w:r>
        <w:rPr>
          <w:rFonts w:hint="eastAsia" w:ascii="宋体" w:hAnsi="宋体" w:eastAsia="宋体" w:cs="宋体"/>
          <w:sz w:val="20"/>
          <w:szCs w:val="20"/>
          <w:lang w:val="en-US"/>
        </w:rPr>
        <w:t>证券代码：</w:t>
      </w:r>
      <w:r>
        <w:rPr>
          <w:rFonts w:hint="eastAsia" w:ascii="宋体" w:hAnsi="宋体" w:eastAsia="宋体" w:cs="宋体"/>
          <w:sz w:val="20"/>
          <w:szCs w:val="20"/>
          <w:lang w:val="en-US" w:eastAsia="zh-CN"/>
        </w:rPr>
        <w:t>600734</w:t>
      </w:r>
      <w:r>
        <w:rPr>
          <w:rFonts w:hint="eastAsia" w:ascii="宋体" w:hAnsi="宋体" w:eastAsia="宋体" w:cs="宋体"/>
          <w:sz w:val="20"/>
          <w:szCs w:val="20"/>
          <w:lang w:val="en-US"/>
        </w:rPr>
        <w:t xml:space="preserve">   </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0"/>
          <w:szCs w:val="20"/>
          <w:lang w:val="en-US"/>
        </w:rPr>
        <w:t>证券简称：</w:t>
      </w:r>
      <w:r>
        <w:rPr>
          <w:rFonts w:hint="eastAsia" w:ascii="宋体" w:hAnsi="宋体" w:eastAsia="宋体" w:cs="宋体"/>
          <w:sz w:val="20"/>
          <w:szCs w:val="20"/>
          <w:lang w:val="en-US" w:eastAsia="zh-CN"/>
        </w:rPr>
        <w:t>*ST实达</w:t>
      </w:r>
    </w:p>
    <w:p w14:paraId="2E146FAC">
      <w:pPr>
        <w:spacing w:line="360" w:lineRule="auto"/>
        <w:jc w:val="center"/>
        <w:rPr>
          <w:rFonts w:ascii="宋体" w:hAnsi="宋体" w:eastAsia="宋体" w:cs="宋体"/>
          <w:b/>
          <w:bCs/>
          <w:sz w:val="44"/>
          <w:szCs w:val="44"/>
        </w:rPr>
      </w:pPr>
    </w:p>
    <w:p w14:paraId="3E25D92E">
      <w:pPr>
        <w:spacing w:line="360" w:lineRule="auto"/>
        <w:jc w:val="center"/>
        <w:rPr>
          <w:rFonts w:ascii="宋体" w:hAnsi="宋体" w:eastAsia="宋体" w:cs="宋体"/>
          <w:b/>
          <w:bCs/>
          <w:sz w:val="44"/>
          <w:szCs w:val="44"/>
        </w:rPr>
      </w:pPr>
      <w:r>
        <w:rPr>
          <w:rFonts w:hint="eastAsia" w:ascii="宋体" w:hAnsi="宋体" w:eastAsia="宋体" w:cs="宋体"/>
          <w:b/>
          <w:bCs/>
          <w:sz w:val="44"/>
          <w:szCs w:val="44"/>
        </w:rPr>
        <w:t>福建实达集团股份有限公司</w:t>
      </w:r>
    </w:p>
    <w:p w14:paraId="5F744EC7">
      <w:pPr>
        <w:spacing w:line="360" w:lineRule="auto"/>
        <w:jc w:val="center"/>
        <w:rPr>
          <w:rFonts w:ascii="宋体" w:hAnsi="宋体" w:eastAsia="宋体" w:cs="宋体"/>
          <w:sz w:val="44"/>
          <w:szCs w:val="44"/>
        </w:rPr>
      </w:pPr>
      <w:r>
        <w:rPr>
          <w:rFonts w:hint="eastAsia" w:ascii="宋体" w:hAnsi="宋体" w:eastAsia="宋体" w:cs="宋体"/>
          <w:b/>
          <w:bCs/>
          <w:sz w:val="44"/>
          <w:szCs w:val="44"/>
        </w:rPr>
        <w:t>投资者关系活动记录表</w:t>
      </w:r>
    </w:p>
    <w:tbl>
      <w:tblPr>
        <w:tblStyle w:val="9"/>
        <w:tblW w:w="8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0" w:type="dxa"/>
        </w:tblCellMar>
      </w:tblPr>
      <w:tblGrid>
        <w:gridCol w:w="2518"/>
        <w:gridCol w:w="6007"/>
      </w:tblGrid>
      <w:tr w14:paraId="49990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1390" w:hRule="atLeast"/>
          <w:jc w:val="center"/>
        </w:trPr>
        <w:tc>
          <w:tcPr>
            <w:tcW w:w="2518" w:type="dxa"/>
            <w:vAlign w:val="center"/>
          </w:tcPr>
          <w:p w14:paraId="0B531EFA">
            <w:pPr>
              <w:pStyle w:val="12"/>
              <w:spacing w:before="1"/>
              <w:ind w:left="107"/>
              <w:rPr>
                <w:rFonts w:ascii="宋体" w:hAnsi="宋体" w:eastAsia="宋体" w:cs="宋体"/>
                <w:b/>
                <w:bCs/>
                <w:sz w:val="20"/>
                <w:szCs w:val="20"/>
              </w:rPr>
            </w:pPr>
            <w:r>
              <w:rPr>
                <w:rFonts w:hint="eastAsia" w:ascii="宋体" w:hAnsi="宋体" w:eastAsia="宋体" w:cs="宋体"/>
                <w:b/>
                <w:bCs/>
                <w:sz w:val="20"/>
                <w:szCs w:val="20"/>
              </w:rPr>
              <w:t>投资者关系活动类别</w:t>
            </w:r>
          </w:p>
        </w:tc>
        <w:tc>
          <w:tcPr>
            <w:tcW w:w="6007" w:type="dxa"/>
            <w:vAlign w:val="center"/>
          </w:tcPr>
          <w:p w14:paraId="5C8BA7D3">
            <w:pPr>
              <w:pStyle w:val="12"/>
              <w:tabs>
                <w:tab w:val="left" w:pos="2418"/>
              </w:tabs>
              <w:spacing w:before="1"/>
              <w:ind w:left="107"/>
              <w:rPr>
                <w:rFonts w:ascii="宋体" w:hAnsi="宋体" w:eastAsia="宋体" w:cs="宋体"/>
                <w:sz w:val="20"/>
                <w:szCs w:val="20"/>
              </w:rPr>
            </w:pPr>
            <w:sdt>
              <w:sdtPr>
                <w:rPr>
                  <w:rFonts w:hint="eastAsia" w:ascii="宋体" w:hAnsi="宋体" w:eastAsia="宋体" w:cs="宋体"/>
                  <w:sz w:val="20"/>
                  <w:szCs w:val="20"/>
                </w:rPr>
                <w:id w:val="249780449"/>
                <w14:checkbox>
                  <w14:checked w14:val="0"/>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MS Gothic" w:hAnsi="MS Gothic" w:eastAsia="MS Gothic" w:cs="宋体"/>
                    <w:sz w:val="20"/>
                    <w:szCs w:val="20"/>
                  </w:rPr>
                  <w:t>☐</w:t>
                </w:r>
              </w:sdtContent>
            </w:sdt>
            <w:r>
              <w:rPr>
                <w:rFonts w:hint="eastAsia" w:ascii="宋体" w:hAnsi="宋体" w:eastAsia="宋体" w:cs="宋体"/>
                <w:sz w:val="20"/>
                <w:szCs w:val="20"/>
              </w:rPr>
              <w:t>特</w:t>
            </w:r>
            <w:r>
              <w:rPr>
                <w:rFonts w:hint="eastAsia" w:ascii="宋体" w:hAnsi="宋体" w:eastAsia="宋体" w:cs="宋体"/>
                <w:spacing w:val="-3"/>
                <w:sz w:val="20"/>
                <w:szCs w:val="20"/>
              </w:rPr>
              <w:t>定</w:t>
            </w:r>
            <w:r>
              <w:rPr>
                <w:rFonts w:hint="eastAsia" w:ascii="宋体" w:hAnsi="宋体" w:eastAsia="宋体" w:cs="宋体"/>
                <w:sz w:val="20"/>
                <w:szCs w:val="20"/>
              </w:rPr>
              <w:t>对</w:t>
            </w:r>
            <w:r>
              <w:rPr>
                <w:rFonts w:hint="eastAsia" w:ascii="宋体" w:hAnsi="宋体" w:eastAsia="宋体" w:cs="宋体"/>
                <w:spacing w:val="-3"/>
                <w:sz w:val="20"/>
                <w:szCs w:val="20"/>
              </w:rPr>
              <w:t>象</w:t>
            </w:r>
            <w:r>
              <w:rPr>
                <w:rFonts w:hint="eastAsia" w:ascii="宋体" w:hAnsi="宋体" w:eastAsia="宋体" w:cs="宋体"/>
                <w:sz w:val="20"/>
                <w:szCs w:val="20"/>
              </w:rPr>
              <w:t>调研</w:t>
            </w:r>
            <w:r>
              <w:rPr>
                <w:rFonts w:hint="eastAsia" w:ascii="宋体" w:hAnsi="宋体" w:eastAsia="宋体" w:cs="宋体"/>
                <w:sz w:val="20"/>
                <w:szCs w:val="20"/>
              </w:rPr>
              <w:tab/>
            </w:r>
            <w:sdt>
              <w:sdtPr>
                <w:rPr>
                  <w:rFonts w:hint="eastAsia" w:ascii="宋体" w:hAnsi="宋体" w:eastAsia="宋体" w:cs="宋体"/>
                  <w:sz w:val="20"/>
                  <w:szCs w:val="20"/>
                </w:rPr>
                <w:id w:val="-416875725"/>
                <w14:checkbox>
                  <w14:checked w14:val="0"/>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MS Gothic" w:hAnsi="MS Gothic" w:eastAsia="MS Gothic" w:cs="宋体"/>
                    <w:sz w:val="20"/>
                    <w:szCs w:val="20"/>
                  </w:rPr>
                  <w:t>☐</w:t>
                </w:r>
              </w:sdtContent>
            </w:sdt>
            <w:r>
              <w:rPr>
                <w:rFonts w:hint="eastAsia" w:ascii="宋体" w:hAnsi="宋体" w:eastAsia="宋体" w:cs="宋体"/>
                <w:sz w:val="20"/>
                <w:szCs w:val="20"/>
              </w:rPr>
              <w:t>分</w:t>
            </w:r>
            <w:r>
              <w:rPr>
                <w:rFonts w:hint="eastAsia" w:ascii="宋体" w:hAnsi="宋体" w:eastAsia="宋体" w:cs="宋体"/>
                <w:spacing w:val="-3"/>
                <w:sz w:val="20"/>
                <w:szCs w:val="20"/>
              </w:rPr>
              <w:t>析</w:t>
            </w:r>
            <w:r>
              <w:rPr>
                <w:rFonts w:hint="eastAsia" w:ascii="宋体" w:hAnsi="宋体" w:eastAsia="宋体" w:cs="宋体"/>
                <w:sz w:val="20"/>
                <w:szCs w:val="20"/>
              </w:rPr>
              <w:t>师</w:t>
            </w:r>
            <w:r>
              <w:rPr>
                <w:rFonts w:hint="eastAsia" w:ascii="宋体" w:hAnsi="宋体" w:eastAsia="宋体" w:cs="宋体"/>
                <w:spacing w:val="-3"/>
                <w:sz w:val="20"/>
                <w:szCs w:val="20"/>
              </w:rPr>
              <w:t>会</w:t>
            </w:r>
            <w:r>
              <w:rPr>
                <w:rFonts w:hint="eastAsia" w:ascii="宋体" w:hAnsi="宋体" w:eastAsia="宋体" w:cs="宋体"/>
                <w:sz w:val="20"/>
                <w:szCs w:val="20"/>
              </w:rPr>
              <w:t>议</w:t>
            </w:r>
          </w:p>
          <w:p w14:paraId="0F6FF4E6">
            <w:pPr>
              <w:pStyle w:val="12"/>
              <w:tabs>
                <w:tab w:val="left" w:pos="2418"/>
              </w:tabs>
              <w:ind w:left="107"/>
              <w:rPr>
                <w:rFonts w:ascii="宋体" w:hAnsi="宋体" w:eastAsia="宋体" w:cs="宋体"/>
                <w:sz w:val="20"/>
                <w:szCs w:val="20"/>
              </w:rPr>
            </w:pPr>
            <w:sdt>
              <w:sdtPr>
                <w:rPr>
                  <w:rFonts w:hint="eastAsia" w:ascii="宋体" w:hAnsi="宋体" w:eastAsia="宋体" w:cs="宋体"/>
                  <w:sz w:val="20"/>
                  <w:szCs w:val="20"/>
                </w:rPr>
                <w:id w:val="1206906014"/>
                <w14:checkbox>
                  <w14:checked w14:val="0"/>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MS Gothic" w:hAnsi="MS Gothic" w:eastAsia="MS Gothic" w:cs="宋体"/>
                    <w:sz w:val="20"/>
                    <w:szCs w:val="20"/>
                  </w:rPr>
                  <w:t>☐</w:t>
                </w:r>
              </w:sdtContent>
            </w:sdt>
            <w:r>
              <w:rPr>
                <w:rFonts w:hint="eastAsia" w:ascii="宋体" w:hAnsi="宋体" w:eastAsia="宋体" w:cs="宋体"/>
                <w:sz w:val="20"/>
                <w:szCs w:val="20"/>
              </w:rPr>
              <w:t>媒</w:t>
            </w:r>
            <w:r>
              <w:rPr>
                <w:rFonts w:hint="eastAsia" w:ascii="宋体" w:hAnsi="宋体" w:eastAsia="宋体" w:cs="宋体"/>
                <w:spacing w:val="-3"/>
                <w:sz w:val="20"/>
                <w:szCs w:val="20"/>
              </w:rPr>
              <w:t>体</w:t>
            </w:r>
            <w:r>
              <w:rPr>
                <w:rFonts w:hint="eastAsia" w:ascii="宋体" w:hAnsi="宋体" w:eastAsia="宋体" w:cs="宋体"/>
                <w:sz w:val="20"/>
                <w:szCs w:val="20"/>
              </w:rPr>
              <w:t>采访</w:t>
            </w:r>
            <w:r>
              <w:rPr>
                <w:rFonts w:hint="eastAsia" w:ascii="宋体" w:hAnsi="宋体" w:eastAsia="宋体" w:cs="宋体"/>
                <w:sz w:val="20"/>
                <w:szCs w:val="20"/>
              </w:rPr>
              <w:tab/>
            </w:r>
            <w:sdt>
              <w:sdtPr>
                <w:rPr>
                  <w:rFonts w:hint="eastAsia" w:ascii="宋体" w:hAnsi="宋体" w:eastAsia="宋体" w:cs="宋体"/>
                  <w:sz w:val="20"/>
                  <w:szCs w:val="20"/>
                </w:rPr>
                <w:id w:val="-66658901"/>
                <w14:checkbox>
                  <w14:checked w14:val="1"/>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Wingdings 2" w:hAnsi="Wingdings 2" w:eastAsia="MS Gothic" w:cs="宋体"/>
                    <w:sz w:val="20"/>
                    <w:szCs w:val="20"/>
                    <w:lang w:val="zh-CN" w:eastAsia="zh-CN" w:bidi="zh-CN"/>
                  </w:rPr>
                  <w:t>R</w:t>
                </w:r>
              </w:sdtContent>
            </w:sdt>
            <w:r>
              <w:rPr>
                <w:rFonts w:hint="eastAsia" w:ascii="宋体" w:hAnsi="宋体" w:eastAsia="宋体" w:cs="宋体"/>
                <w:sz w:val="20"/>
                <w:szCs w:val="20"/>
              </w:rPr>
              <w:t>业</w:t>
            </w:r>
            <w:r>
              <w:rPr>
                <w:rFonts w:hint="eastAsia" w:ascii="宋体" w:hAnsi="宋体" w:eastAsia="宋体" w:cs="宋体"/>
                <w:spacing w:val="-3"/>
                <w:sz w:val="20"/>
                <w:szCs w:val="20"/>
              </w:rPr>
              <w:t>绩</w:t>
            </w:r>
            <w:r>
              <w:rPr>
                <w:rFonts w:hint="eastAsia" w:ascii="宋体" w:hAnsi="宋体" w:eastAsia="宋体" w:cs="宋体"/>
                <w:sz w:val="20"/>
                <w:szCs w:val="20"/>
              </w:rPr>
              <w:t>说</w:t>
            </w:r>
            <w:r>
              <w:rPr>
                <w:rFonts w:hint="eastAsia" w:ascii="宋体" w:hAnsi="宋体" w:eastAsia="宋体" w:cs="宋体"/>
                <w:spacing w:val="-3"/>
                <w:sz w:val="20"/>
                <w:szCs w:val="20"/>
              </w:rPr>
              <w:t>明</w:t>
            </w:r>
            <w:r>
              <w:rPr>
                <w:rFonts w:hint="eastAsia" w:ascii="宋体" w:hAnsi="宋体" w:eastAsia="宋体" w:cs="宋体"/>
                <w:sz w:val="20"/>
                <w:szCs w:val="20"/>
              </w:rPr>
              <w:t>会</w:t>
            </w:r>
          </w:p>
          <w:p w14:paraId="39CE94B8">
            <w:pPr>
              <w:pStyle w:val="12"/>
              <w:tabs>
                <w:tab w:val="left" w:pos="2418"/>
              </w:tabs>
              <w:ind w:left="107"/>
              <w:rPr>
                <w:rFonts w:ascii="宋体" w:hAnsi="宋体" w:eastAsia="宋体" w:cs="宋体"/>
                <w:sz w:val="20"/>
                <w:szCs w:val="20"/>
              </w:rPr>
            </w:pPr>
            <w:sdt>
              <w:sdtPr>
                <w:rPr>
                  <w:rFonts w:hint="eastAsia" w:ascii="宋体" w:hAnsi="宋体" w:eastAsia="宋体" w:cs="宋体"/>
                  <w:sz w:val="20"/>
                  <w:szCs w:val="20"/>
                </w:rPr>
                <w:id w:val="-1848167434"/>
                <w14:checkbox>
                  <w14:checked w14:val="0"/>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MS Gothic" w:hAnsi="MS Gothic" w:eastAsia="MS Gothic" w:cs="宋体"/>
                    <w:sz w:val="20"/>
                    <w:szCs w:val="20"/>
                  </w:rPr>
                  <w:t>☐</w:t>
                </w:r>
              </w:sdtContent>
            </w:sdt>
            <w:r>
              <w:rPr>
                <w:rFonts w:hint="eastAsia" w:ascii="宋体" w:hAnsi="宋体" w:eastAsia="宋体" w:cs="宋体"/>
                <w:sz w:val="20"/>
                <w:szCs w:val="20"/>
              </w:rPr>
              <w:t>新</w:t>
            </w:r>
            <w:r>
              <w:rPr>
                <w:rFonts w:hint="eastAsia" w:ascii="宋体" w:hAnsi="宋体" w:eastAsia="宋体" w:cs="宋体"/>
                <w:spacing w:val="-3"/>
                <w:sz w:val="20"/>
                <w:szCs w:val="20"/>
              </w:rPr>
              <w:t>闻</w:t>
            </w:r>
            <w:r>
              <w:rPr>
                <w:rFonts w:hint="eastAsia" w:ascii="宋体" w:hAnsi="宋体" w:eastAsia="宋体" w:cs="宋体"/>
                <w:sz w:val="20"/>
                <w:szCs w:val="20"/>
              </w:rPr>
              <w:t>发</w:t>
            </w:r>
            <w:r>
              <w:rPr>
                <w:rFonts w:hint="eastAsia" w:ascii="宋体" w:hAnsi="宋体" w:eastAsia="宋体" w:cs="宋体"/>
                <w:spacing w:val="-3"/>
                <w:sz w:val="20"/>
                <w:szCs w:val="20"/>
              </w:rPr>
              <w:t>布</w:t>
            </w:r>
            <w:r>
              <w:rPr>
                <w:rFonts w:hint="eastAsia" w:ascii="宋体" w:hAnsi="宋体" w:eastAsia="宋体" w:cs="宋体"/>
                <w:sz w:val="20"/>
                <w:szCs w:val="20"/>
              </w:rPr>
              <w:t>会</w:t>
            </w:r>
            <w:r>
              <w:rPr>
                <w:rFonts w:hint="eastAsia" w:ascii="宋体" w:hAnsi="宋体" w:eastAsia="宋体" w:cs="宋体"/>
                <w:sz w:val="20"/>
                <w:szCs w:val="20"/>
              </w:rPr>
              <w:tab/>
            </w:r>
            <w:sdt>
              <w:sdtPr>
                <w:rPr>
                  <w:rFonts w:hint="eastAsia" w:ascii="宋体" w:hAnsi="宋体" w:eastAsia="宋体" w:cs="宋体"/>
                  <w:sz w:val="20"/>
                  <w:szCs w:val="20"/>
                </w:rPr>
                <w:id w:val="412049691"/>
                <w14:checkbox>
                  <w14:checked w14:val="0"/>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MS Gothic" w:hAnsi="MS Gothic" w:eastAsia="MS Gothic" w:cs="宋体"/>
                    <w:sz w:val="20"/>
                    <w:szCs w:val="20"/>
                  </w:rPr>
                  <w:t>☐</w:t>
                </w:r>
              </w:sdtContent>
            </w:sdt>
            <w:r>
              <w:rPr>
                <w:rFonts w:hint="eastAsia" w:ascii="宋体" w:hAnsi="宋体" w:eastAsia="宋体" w:cs="宋体"/>
                <w:sz w:val="20"/>
                <w:szCs w:val="20"/>
              </w:rPr>
              <w:t>路</w:t>
            </w:r>
            <w:r>
              <w:rPr>
                <w:rFonts w:hint="eastAsia" w:ascii="宋体" w:hAnsi="宋体" w:eastAsia="宋体" w:cs="宋体"/>
                <w:spacing w:val="-3"/>
                <w:sz w:val="20"/>
                <w:szCs w:val="20"/>
              </w:rPr>
              <w:t>演</w:t>
            </w:r>
            <w:r>
              <w:rPr>
                <w:rFonts w:hint="eastAsia" w:ascii="宋体" w:hAnsi="宋体" w:eastAsia="宋体" w:cs="宋体"/>
                <w:sz w:val="20"/>
                <w:szCs w:val="20"/>
              </w:rPr>
              <w:t>活动</w:t>
            </w:r>
          </w:p>
          <w:p w14:paraId="11518343">
            <w:pPr>
              <w:pStyle w:val="12"/>
              <w:ind w:left="107"/>
              <w:rPr>
                <w:rFonts w:ascii="宋体" w:hAnsi="宋体" w:eastAsia="宋体" w:cs="宋体"/>
                <w:sz w:val="20"/>
                <w:szCs w:val="20"/>
              </w:rPr>
            </w:pPr>
            <w:sdt>
              <w:sdtPr>
                <w:rPr>
                  <w:rFonts w:hint="eastAsia" w:ascii="宋体" w:hAnsi="宋体" w:eastAsia="宋体" w:cs="宋体"/>
                  <w:sz w:val="20"/>
                  <w:szCs w:val="20"/>
                </w:rPr>
                <w:id w:val="-1333366911"/>
                <w14:checkbox>
                  <w14:checked w14:val="0"/>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MS Gothic" w:hAnsi="MS Gothic" w:eastAsia="MS Gothic" w:cs="宋体"/>
                    <w:sz w:val="20"/>
                    <w:szCs w:val="20"/>
                  </w:rPr>
                  <w:t>☐</w:t>
                </w:r>
              </w:sdtContent>
            </w:sdt>
            <w:r>
              <w:rPr>
                <w:rFonts w:hint="eastAsia" w:ascii="宋体" w:hAnsi="宋体" w:eastAsia="宋体" w:cs="宋体"/>
                <w:sz w:val="20"/>
                <w:szCs w:val="20"/>
              </w:rPr>
              <w:t>现场参观</w:t>
            </w:r>
          </w:p>
          <w:p w14:paraId="6B6AB737">
            <w:pPr>
              <w:pStyle w:val="12"/>
              <w:ind w:left="107"/>
              <w:rPr>
                <w:rFonts w:ascii="宋体" w:hAnsi="宋体" w:eastAsia="宋体" w:cs="宋体"/>
                <w:sz w:val="20"/>
                <w:szCs w:val="20"/>
              </w:rPr>
            </w:pPr>
            <w:sdt>
              <w:sdtPr>
                <w:rPr>
                  <w:rFonts w:hint="eastAsia" w:ascii="宋体" w:hAnsi="宋体" w:eastAsia="宋体" w:cs="宋体"/>
                  <w:sz w:val="20"/>
                  <w:szCs w:val="20"/>
                </w:rPr>
                <w:id w:val="400885218"/>
                <w14:checkbox>
                  <w14:checked w14:val="0"/>
                  <w14:checkedState w14:val="0052" w14:font="Wingdings 2"/>
                  <w14:uncheckedState w14:val="2610" w14:font="MS Gothic"/>
                </w14:checkbox>
              </w:sdtPr>
              <w:sdtEndPr>
                <w:rPr>
                  <w:rFonts w:hint="eastAsia" w:ascii="宋体" w:hAnsi="宋体" w:eastAsia="宋体" w:cs="宋体"/>
                  <w:sz w:val="20"/>
                  <w:szCs w:val="20"/>
                </w:rPr>
              </w:sdtEndPr>
              <w:sdtContent>
                <w:r>
                  <w:rPr>
                    <w:rFonts w:hint="eastAsia" w:ascii="MS Gothic" w:hAnsi="MS Gothic" w:eastAsia="MS Gothic" w:cs="宋体"/>
                    <w:sz w:val="20"/>
                    <w:szCs w:val="20"/>
                  </w:rPr>
                  <w:t>☐</w:t>
                </w:r>
              </w:sdtContent>
            </w:sdt>
            <w:r>
              <w:rPr>
                <w:rFonts w:hint="eastAsia" w:ascii="宋体" w:hAnsi="宋体" w:eastAsia="宋体" w:cs="宋体"/>
                <w:sz w:val="20"/>
                <w:szCs w:val="20"/>
              </w:rPr>
              <w:t>其他（</w:t>
            </w:r>
            <w:r>
              <w:rPr>
                <w:rFonts w:hint="eastAsia" w:ascii="宋体" w:hAnsi="宋体" w:eastAsia="宋体" w:cs="宋体"/>
                <w:sz w:val="20"/>
                <w:szCs w:val="20"/>
                <w:u w:val="single"/>
              </w:rPr>
              <w:t>请文字说明其他活动内容）</w:t>
            </w:r>
          </w:p>
        </w:tc>
      </w:tr>
      <w:tr w14:paraId="42293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471" w:hRule="atLeast"/>
          <w:jc w:val="center"/>
        </w:trPr>
        <w:tc>
          <w:tcPr>
            <w:tcW w:w="2518" w:type="dxa"/>
            <w:vAlign w:val="center"/>
          </w:tcPr>
          <w:p w14:paraId="01CFABA7">
            <w:pPr>
              <w:pStyle w:val="12"/>
              <w:ind w:left="107"/>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参与单位名称及人员姓名</w:t>
            </w:r>
          </w:p>
        </w:tc>
        <w:tc>
          <w:tcPr>
            <w:tcW w:w="6007" w:type="dxa"/>
            <w:vAlign w:val="center"/>
          </w:tcPr>
          <w:p w14:paraId="6DEE3038">
            <w:pPr>
              <w:pStyle w:val="12"/>
              <w:keepNext w:val="0"/>
              <w:keepLines w:val="0"/>
              <w:pageBreakBefore w:val="0"/>
              <w:widowControl w:val="0"/>
              <w:kinsoku/>
              <w:wordWrap/>
              <w:overflowPunct/>
              <w:topLinePunct w:val="0"/>
              <w:autoSpaceDE w:val="0"/>
              <w:autoSpaceDN w:val="0"/>
              <w:bidi w:val="0"/>
              <w:adjustRightInd/>
              <w:snapToGrid/>
              <w:spacing w:before="100" w:beforeAutospacing="1" w:line="360" w:lineRule="auto"/>
              <w:textAlignment w:val="auto"/>
              <w:rPr>
                <w:rFonts w:hint="default"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线上参与*ST实达（600734）2026年第三季度业绩说明会的全体投资者</w:t>
            </w:r>
          </w:p>
        </w:tc>
      </w:tr>
      <w:tr w14:paraId="07D75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403" w:hRule="atLeast"/>
          <w:jc w:val="center"/>
        </w:trPr>
        <w:tc>
          <w:tcPr>
            <w:tcW w:w="2518" w:type="dxa"/>
            <w:vAlign w:val="center"/>
          </w:tcPr>
          <w:p w14:paraId="139DDF2C">
            <w:pPr>
              <w:pStyle w:val="12"/>
              <w:ind w:left="107"/>
              <w:rPr>
                <w:rFonts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时间</w:t>
            </w:r>
          </w:p>
        </w:tc>
        <w:tc>
          <w:tcPr>
            <w:tcW w:w="6007" w:type="dxa"/>
            <w:vAlign w:val="center"/>
          </w:tcPr>
          <w:p w14:paraId="7CC24808">
            <w:pPr>
              <w:keepNext w:val="0"/>
              <w:keepLines w:val="0"/>
              <w:pageBreakBefore w:val="0"/>
              <w:widowControl w:val="0"/>
              <w:kinsoku/>
              <w:wordWrap/>
              <w:overflowPunct/>
              <w:topLinePunct w:val="0"/>
              <w:autoSpaceDE w:val="0"/>
              <w:autoSpaceDN w:val="0"/>
              <w:bidi w:val="0"/>
              <w:adjustRightInd/>
              <w:snapToGrid/>
              <w:spacing w:before="100" w:beforeAutospacing="1" w:line="360" w:lineRule="auto"/>
              <w:textAlignment w:val="auto"/>
              <w:rPr>
                <w:sz w:val="20"/>
                <w:szCs w:val="20"/>
              </w:rPr>
            </w:pPr>
            <w:r>
              <w:rPr>
                <w:rFonts w:hint="eastAsia" w:asciiTheme="minorEastAsia" w:hAnsiTheme="minorEastAsia" w:eastAsiaTheme="minorEastAsia" w:cstheme="minorEastAsia"/>
                <w:sz w:val="20"/>
                <w:szCs w:val="20"/>
              </w:rPr>
              <w:t>2026年11月4日 15:00-16:00</w:t>
            </w:r>
          </w:p>
        </w:tc>
      </w:tr>
      <w:tr w14:paraId="42FB1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378" w:hRule="atLeast"/>
          <w:jc w:val="center"/>
        </w:trPr>
        <w:tc>
          <w:tcPr>
            <w:tcW w:w="2518" w:type="dxa"/>
            <w:vAlign w:val="center"/>
          </w:tcPr>
          <w:p w14:paraId="24A7B82D">
            <w:pPr>
              <w:pStyle w:val="12"/>
              <w:ind w:left="107"/>
              <w:rPr>
                <w:rFonts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地点</w:t>
            </w:r>
          </w:p>
        </w:tc>
        <w:tc>
          <w:tcPr>
            <w:tcW w:w="6007" w:type="dxa"/>
            <w:vAlign w:val="center"/>
          </w:tcPr>
          <w:p w14:paraId="35597AC8">
            <w:pPr>
              <w:pStyle w:val="12"/>
              <w:keepNext w:val="0"/>
              <w:keepLines w:val="0"/>
              <w:pageBreakBefore w:val="0"/>
              <w:widowControl w:val="0"/>
              <w:kinsoku/>
              <w:wordWrap/>
              <w:overflowPunct/>
              <w:topLinePunct w:val="0"/>
              <w:autoSpaceDE w:val="0"/>
              <w:autoSpaceDN w:val="0"/>
              <w:bidi w:val="0"/>
              <w:adjustRightInd/>
              <w:snapToGrid/>
              <w:spacing w:before="100" w:beforeAutospacing="1" w:line="360" w:lineRule="auto"/>
              <w:textAlignment w:val="auto"/>
              <w:rPr>
                <w:rFonts w:cs="宋体" w:asciiTheme="minorEastAsia" w:hAnsiTheme="minorEastAsia" w:eastAsiaTheme="minorEastAsia"/>
                <w:sz w:val="20"/>
                <w:szCs w:val="20"/>
              </w:rPr>
            </w:pPr>
            <w:r>
              <w:rPr>
                <w:rFonts w:cs="宋体" w:asciiTheme="minorEastAsia" w:hAnsiTheme="minorEastAsia" w:eastAsiaTheme="minorEastAsia"/>
                <w:sz w:val="20"/>
                <w:szCs w:val="20"/>
              </w:rPr>
              <w:t>价值在线（https://www.ir-online.cn/）网络互动</w:t>
            </w:r>
          </w:p>
        </w:tc>
      </w:tr>
      <w:tr w14:paraId="26764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558" w:hRule="atLeast"/>
          <w:jc w:val="center"/>
        </w:trPr>
        <w:tc>
          <w:tcPr>
            <w:tcW w:w="2518" w:type="dxa"/>
            <w:vAlign w:val="center"/>
          </w:tcPr>
          <w:p w14:paraId="2451D04C">
            <w:pPr>
              <w:pStyle w:val="12"/>
              <w:spacing w:before="1"/>
              <w:ind w:left="107"/>
              <w:rPr>
                <w:rFonts w:ascii="宋体" w:hAnsi="宋体" w:eastAsia="宋体" w:cs="宋体"/>
                <w:b/>
                <w:bCs/>
                <w:sz w:val="20"/>
                <w:szCs w:val="20"/>
              </w:rPr>
            </w:pPr>
            <w:r>
              <w:rPr>
                <w:rFonts w:hint="eastAsia" w:ascii="宋体" w:hAnsi="宋体" w:eastAsia="宋体" w:cs="宋体"/>
                <w:b/>
                <w:bCs/>
                <w:sz w:val="20"/>
                <w:szCs w:val="20"/>
              </w:rPr>
              <w:t>上市公司接待人员姓名</w:t>
            </w:r>
          </w:p>
        </w:tc>
        <w:tc>
          <w:tcPr>
            <w:tcW w:w="6007" w:type="dxa"/>
            <w:vAlign w:val="center"/>
          </w:tcPr>
          <w:p w14:paraId="1A2A4D7C">
            <w:pPr>
              <w:pStyle w:val="12"/>
              <w:keepNext w:val="0"/>
              <w:keepLines w:val="0"/>
              <w:pageBreakBefore w:val="0"/>
              <w:widowControl w:val="0"/>
              <w:kinsoku/>
              <w:wordWrap/>
              <w:overflowPunct/>
              <w:topLinePunct w:val="0"/>
              <w:autoSpaceDE w:val="0"/>
              <w:autoSpaceDN w:val="0"/>
              <w:bidi w:val="0"/>
              <w:adjustRightInd/>
              <w:snapToGrid/>
              <w:spacing w:before="100" w:beforeAutospacing="1" w:line="240" w:lineRule="auto"/>
              <w:textAlignment w:val="auto"/>
              <w:rPr>
                <w:rFonts w:hint="eastAsia"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董事长:苏岳峰先生</w:t>
            </w:r>
          </w:p>
          <w:p w14:paraId="766B9743">
            <w:pPr>
              <w:pStyle w:val="12"/>
              <w:keepNext w:val="0"/>
              <w:keepLines w:val="0"/>
              <w:pageBreakBefore w:val="0"/>
              <w:widowControl w:val="0"/>
              <w:kinsoku/>
              <w:wordWrap/>
              <w:overflowPunct/>
              <w:topLinePunct w:val="0"/>
              <w:autoSpaceDE w:val="0"/>
              <w:autoSpaceDN w:val="0"/>
              <w:bidi w:val="0"/>
              <w:adjustRightInd/>
              <w:snapToGrid/>
              <w:spacing w:before="100" w:beforeAutospacing="1" w:line="240" w:lineRule="auto"/>
              <w:textAlignment w:val="auto"/>
              <w:rPr>
                <w:rFonts w:hint="eastAsia"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总裁:何桂东先生</w:t>
            </w:r>
          </w:p>
          <w:p w14:paraId="2E850545">
            <w:pPr>
              <w:pStyle w:val="12"/>
              <w:keepNext w:val="0"/>
              <w:keepLines w:val="0"/>
              <w:pageBreakBefore w:val="0"/>
              <w:widowControl w:val="0"/>
              <w:kinsoku/>
              <w:wordWrap/>
              <w:overflowPunct/>
              <w:topLinePunct w:val="0"/>
              <w:autoSpaceDE w:val="0"/>
              <w:autoSpaceDN w:val="0"/>
              <w:bidi w:val="0"/>
              <w:adjustRightInd/>
              <w:snapToGrid/>
              <w:spacing w:before="100" w:beforeAutospacing="1" w:line="240" w:lineRule="auto"/>
              <w:textAlignment w:val="auto"/>
              <w:rPr>
                <w:rFonts w:hint="eastAsia"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副总裁:林玉广先生</w:t>
            </w:r>
          </w:p>
          <w:p w14:paraId="18356940">
            <w:pPr>
              <w:pStyle w:val="12"/>
              <w:keepNext w:val="0"/>
              <w:keepLines w:val="0"/>
              <w:pageBreakBefore w:val="0"/>
              <w:widowControl w:val="0"/>
              <w:kinsoku/>
              <w:wordWrap/>
              <w:overflowPunct/>
              <w:topLinePunct w:val="0"/>
              <w:autoSpaceDE w:val="0"/>
              <w:autoSpaceDN w:val="0"/>
              <w:bidi w:val="0"/>
              <w:adjustRightInd/>
              <w:snapToGrid/>
              <w:spacing w:before="100" w:beforeAutospacing="1" w:line="240" w:lineRule="auto"/>
              <w:textAlignment w:val="auto"/>
              <w:rPr>
                <w:rFonts w:hint="eastAsia"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财务总监:曾庆勇先生</w:t>
            </w:r>
          </w:p>
          <w:p w14:paraId="144414FA">
            <w:pPr>
              <w:pStyle w:val="12"/>
              <w:keepNext w:val="0"/>
              <w:keepLines w:val="0"/>
              <w:pageBreakBefore w:val="0"/>
              <w:widowControl w:val="0"/>
              <w:kinsoku/>
              <w:wordWrap/>
              <w:overflowPunct/>
              <w:topLinePunct w:val="0"/>
              <w:autoSpaceDE w:val="0"/>
              <w:autoSpaceDN w:val="0"/>
              <w:bidi w:val="0"/>
              <w:adjustRightInd/>
              <w:snapToGrid/>
              <w:spacing w:before="100" w:beforeAutospacing="1" w:line="240" w:lineRule="auto"/>
              <w:textAlignment w:val="auto"/>
              <w:rPr>
                <w:rFonts w:ascii="宋体" w:hAnsi="宋体" w:eastAsia="宋体" w:cs="宋体"/>
                <w:sz w:val="20"/>
                <w:szCs w:val="20"/>
              </w:rPr>
            </w:pPr>
            <w:r>
              <w:rPr>
                <w:rFonts w:hint="eastAsia" w:cs="宋体" w:asciiTheme="minorEastAsia" w:hAnsiTheme="minorEastAsia" w:eastAsiaTheme="minorEastAsia"/>
                <w:sz w:val="20"/>
                <w:szCs w:val="20"/>
                <w:lang w:val="en-US" w:eastAsia="zh-CN"/>
              </w:rPr>
              <w:t>董事会秘书:戴晓燕女士</w:t>
            </w:r>
          </w:p>
        </w:tc>
      </w:tr>
      <w:tr w14:paraId="01DDC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558" w:hRule="atLeast"/>
          <w:jc w:val="center"/>
        </w:trPr>
        <w:tc>
          <w:tcPr>
            <w:tcW w:w="8525" w:type="dxa"/>
            <w:gridSpan w:val="2"/>
            <w:vAlign w:val="center"/>
          </w:tcPr>
          <w:p w14:paraId="1A5A0E02">
            <w:pPr>
              <w:pStyle w:val="12"/>
              <w:keepNext w:val="0"/>
              <w:keepLines w:val="0"/>
              <w:pageBreakBefore w:val="0"/>
              <w:widowControl w:val="0"/>
              <w:kinsoku/>
              <w:wordWrap/>
              <w:overflowPunct/>
              <w:topLinePunct w:val="0"/>
              <w:autoSpaceDE w:val="0"/>
              <w:autoSpaceDN w:val="0"/>
              <w:bidi w:val="0"/>
              <w:adjustRightInd w:val="0"/>
              <w:snapToGrid w:val="0"/>
              <w:spacing w:before="100" w:beforeAutospacing="1" w:line="240" w:lineRule="atLeast"/>
              <w:textAlignment w:val="auto"/>
              <w:rPr>
                <w:rFonts w:hint="eastAsia" w:ascii="宋体" w:hAnsi="宋体" w:eastAsia="宋体" w:cs="宋体"/>
                <w:sz w:val="20"/>
                <w:szCs w:val="20"/>
                <w:lang w:eastAsia="zh-CN"/>
              </w:rPr>
            </w:pPr>
            <w:r>
              <w:rPr>
                <w:rFonts w:hint="eastAsia" w:ascii="宋体" w:hAnsi="宋体" w:eastAsia="宋体" w:cs="宋体"/>
                <w:b/>
                <w:bCs/>
                <w:sz w:val="20"/>
                <w:szCs w:val="20"/>
              </w:rPr>
              <w:t>投资者关系活动主要内容介绍</w:t>
            </w:r>
            <w:r>
              <w:rPr>
                <w:rFonts w:hint="eastAsia" w:ascii="宋体" w:hAnsi="宋体" w:eastAsia="宋体" w:cs="宋体"/>
                <w:b/>
                <w:bCs/>
                <w:sz w:val="20"/>
                <w:szCs w:val="20"/>
                <w:lang w:eastAsia="zh-CN"/>
              </w:rPr>
              <w:t>：</w:t>
            </w:r>
          </w:p>
        </w:tc>
      </w:tr>
      <w:tr w14:paraId="3B9D0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2800" w:hRule="atLeast"/>
          <w:jc w:val="center"/>
        </w:trPr>
        <w:tc>
          <w:tcPr>
            <w:tcW w:w="8525" w:type="dxa"/>
            <w:gridSpan w:val="2"/>
            <w:vAlign w:val="center"/>
          </w:tcPr>
          <w:p w14:paraId="5EF6741D">
            <w:pPr>
              <w:pStyle w:val="12"/>
              <w:keepNext w:val="0"/>
              <w:keepLines w:val="0"/>
              <w:pageBreakBefore w:val="0"/>
              <w:widowControl w:val="0"/>
              <w:kinsoku/>
              <w:wordWrap/>
              <w:overflowPunct/>
              <w:topLinePunct w:val="0"/>
              <w:autoSpaceDE w:val="0"/>
              <w:autoSpaceDN w:val="0"/>
              <w:bidi w:val="0"/>
              <w:adjustRightInd/>
              <w:snapToGrid/>
              <w:spacing w:before="100" w:beforeAutospacing="1" w:line="360" w:lineRule="auto"/>
              <w:textAlignment w:val="auto"/>
              <w:rPr>
                <w:rFonts w:ascii="宋体" w:hAnsi="宋体" w:eastAsia="宋体" w:cs="宋体"/>
                <w:sz w:val="20"/>
                <w:szCs w:val="20"/>
              </w:rPr>
            </w:pPr>
            <w:r>
              <w:rPr>
                <w:rFonts w:ascii="宋体" w:hAnsi="宋体" w:eastAsia="宋体" w:cs="宋体"/>
                <w:b/>
                <w:sz w:val="20"/>
              </w:rPr>
              <w:t xml:space="preserve">    1.第四季度的业绩是否能完成保壳计划，目前有何规划，联通的项目前三季度确认多少了</w:t>
            </w:r>
            <w:r>
              <w:rPr>
                <w:rFonts w:ascii="宋体" w:hAnsi="宋体" w:eastAsia="宋体" w:cs="宋体"/>
                <w:b/>
                <w:sz w:val="20"/>
              </w:rPr>
              <w:br w:type="textWrapping"/>
            </w:r>
            <w:r>
              <w:rPr>
                <w:rFonts w:ascii="宋体" w:hAnsi="宋体" w:eastAsia="宋体" w:cs="宋体"/>
                <w:b w:val="0"/>
                <w:sz w:val="20"/>
              </w:rPr>
              <w:t xml:space="preserve">    答:尊敬的投资者，您好！公司理解您对全年经营情况和相关风险的关切。目前在手订单及项目执行进度受交付、验收节奏等影响，具体以公司定期报告和已披露公告为准。公司目前正围绕年度经营目标，全力攻坚，加快在手订单交付和已中标项目落地验收，力争实现全年经营目标。敬请广大投资者理性投资，注意投资风险。感谢您对公司的关注。</w:t>
            </w:r>
            <w:r>
              <w:rPr>
                <w:rFonts w:ascii="宋体" w:hAnsi="宋体" w:eastAsia="宋体" w:cs="宋体"/>
                <w:b w:val="0"/>
                <w:sz w:val="20"/>
              </w:rPr>
              <w:br w:type="textWrapping"/>
            </w:r>
            <w:r>
              <w:rPr>
                <w:rFonts w:ascii="宋体" w:hAnsi="宋体" w:eastAsia="宋体" w:cs="宋体"/>
                <w:b/>
                <w:sz w:val="20"/>
              </w:rPr>
              <w:t xml:space="preserve">    2.实达集团今年能完成摘帽去星的任务吗</w:t>
            </w:r>
            <w:r>
              <w:rPr>
                <w:rFonts w:ascii="宋体" w:hAnsi="宋体" w:eastAsia="宋体" w:cs="宋体"/>
                <w:b/>
                <w:sz w:val="20"/>
              </w:rPr>
              <w:br w:type="textWrapping"/>
            </w:r>
            <w:r>
              <w:rPr>
                <w:rFonts w:ascii="宋体" w:hAnsi="宋体" w:eastAsia="宋体" w:cs="宋体"/>
                <w:b w:val="0"/>
                <w:sz w:val="20"/>
              </w:rPr>
              <w:t xml:space="preserve">    答:尊敬的投资者，您好！公司股票于2026年4月30日被实施退市风险警示，相关风险警示能否撤销，取决于2026年度经审计的财务指标情况，具体请以公司披露的定期报告及公告为准。目前公司各项经营活动正常有序，管理层正通过聚焦主业、加快推进在手订单交付与已中标项目落地、强化内控、降本增效及依托股东资源支持等多措并举，全力改善经营基本面。敬请广大投资者理性投资，注意投资风险。感谢您对公司的关注。</w:t>
            </w:r>
            <w:r>
              <w:rPr>
                <w:rFonts w:ascii="宋体" w:hAnsi="宋体" w:eastAsia="宋体" w:cs="宋体"/>
                <w:b w:val="0"/>
                <w:sz w:val="20"/>
              </w:rPr>
              <w:br w:type="textWrapping"/>
            </w:r>
            <w:r>
              <w:rPr>
                <w:rFonts w:ascii="宋体" w:hAnsi="宋体" w:eastAsia="宋体" w:cs="宋体"/>
                <w:b/>
                <w:sz w:val="20"/>
              </w:rPr>
              <w:t xml:space="preserve">    3.实达集团四季度能够确认的营收是多少？</w:t>
            </w:r>
            <w:r>
              <w:rPr>
                <w:rFonts w:ascii="宋体" w:hAnsi="宋体" w:eastAsia="宋体" w:cs="宋体"/>
                <w:b/>
                <w:sz w:val="20"/>
              </w:rPr>
              <w:br w:type="textWrapping"/>
            </w:r>
            <w:r>
              <w:rPr>
                <w:rFonts w:ascii="宋体" w:hAnsi="宋体" w:eastAsia="宋体" w:cs="宋体"/>
                <w:b w:val="0"/>
                <w:sz w:val="20"/>
              </w:rPr>
              <w:t xml:space="preserve">    答:尊敬的投资者您好！公司严格按照《企业会计准则》及收入确认政策进行核算，营业收入以项目实际交付、客户验收及控制权转移等履约进度为依据确认。受项目交付、验收节奏等因素影响，部分收入确认时点存在不确定性，具体金额及确认情况请以公司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4.克融云智算中心二期二标段已确认多少营收，今年能否验收完成？</w:t>
            </w:r>
            <w:r>
              <w:rPr>
                <w:rFonts w:ascii="宋体" w:hAnsi="宋体" w:eastAsia="宋体" w:cs="宋体"/>
                <w:b/>
                <w:sz w:val="20"/>
              </w:rPr>
              <w:br w:type="textWrapping"/>
            </w:r>
            <w:r>
              <w:rPr>
                <w:rFonts w:ascii="宋体" w:hAnsi="宋体" w:eastAsia="宋体" w:cs="宋体"/>
                <w:b w:val="0"/>
                <w:sz w:val="20"/>
              </w:rPr>
              <w:t xml:space="preserve">    答:尊敬的投资者，您好！克融云智算中心二期二标段项目</w:t>
            </w:r>
            <w:r>
              <w:rPr>
                <w:rFonts w:hint="eastAsia" w:ascii="宋体" w:hAnsi="宋体" w:eastAsia="宋体" w:cs="宋体"/>
                <w:b w:val="0"/>
                <w:sz w:val="20"/>
                <w:lang w:val="en-US" w:eastAsia="zh-CN"/>
              </w:rPr>
              <w:t>属于2025年项目，相关情况请参阅公司披露的2025年年度报告</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5.公司高管对2026年度的保壳成功是否有信心，公司大股东目前对保壳持什么态度？</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管理层正通过持续聚焦主业、强化内控、降本增效及依托股东资源支持等多措并举，全力改善基本面。公司控股股东持续关注并支持公司发展，公司将继续依托控股股东的资源整合能力，聚焦数智政企、数智教育、智能算力和数据流动领域，全力改善经营基本面。敬请广大投资者理性投资，注意投资风险。感谢您对公司的关注。</w:t>
            </w:r>
            <w:r>
              <w:rPr>
                <w:rFonts w:ascii="宋体" w:hAnsi="宋体" w:eastAsia="宋体" w:cs="宋体"/>
                <w:b w:val="0"/>
                <w:sz w:val="20"/>
              </w:rPr>
              <w:br w:type="textWrapping"/>
            </w:r>
            <w:r>
              <w:rPr>
                <w:rFonts w:ascii="宋体" w:hAnsi="宋体" w:eastAsia="宋体" w:cs="宋体"/>
                <w:b/>
                <w:sz w:val="20"/>
              </w:rPr>
              <w:t xml:space="preserve">    6.1.第四季度收入能确认多少？
2.公司全年净资产水平？
3.重大诉讼计提预计多少？</w:t>
            </w:r>
            <w:r>
              <w:rPr>
                <w:rFonts w:ascii="宋体" w:hAnsi="宋体" w:eastAsia="宋体" w:cs="宋体"/>
                <w:b/>
                <w:sz w:val="20"/>
              </w:rPr>
              <w:br w:type="textWrapping"/>
            </w:r>
            <w:r>
              <w:rPr>
                <w:rFonts w:ascii="宋体" w:hAnsi="宋体" w:eastAsia="宋体" w:cs="宋体"/>
                <w:b w:val="0"/>
                <w:sz w:val="20"/>
              </w:rPr>
              <w:t xml:space="preserve">    答:尊敬的投资者，您好！一、关于收入确认，请以公司披露的定期报告为准。二、截至2026年9月30日，公司归属于上市公司股东的所有者权益为19,948.32万元，全年净资产水平将随第四季度经营情况变化，请以经审计的2026年年度报告为准。三、关于重大诉讼，根据公司已披露的公告，相关债务本息已严格遵循《企业会计准则》的规定在前期财务报表中确认，预计对公司本期及期后利润影响较小，因相关诉讼尚未开庭审理，最终的会计处理结果及对公司利润的具体影响，将以年度审计机构出具的审计意见为准。感谢您对公司的关注。</w:t>
            </w:r>
            <w:r>
              <w:rPr>
                <w:rFonts w:ascii="宋体" w:hAnsi="宋体" w:eastAsia="宋体" w:cs="宋体"/>
                <w:b w:val="0"/>
                <w:sz w:val="20"/>
              </w:rPr>
              <w:br w:type="textWrapping"/>
            </w:r>
            <w:r>
              <w:rPr>
                <w:rFonts w:ascii="宋体" w:hAnsi="宋体" w:eastAsia="宋体" w:cs="宋体"/>
                <w:b/>
                <w:sz w:val="20"/>
              </w:rPr>
              <w:t xml:space="preserve">    7.尊敬的管理层、财务总监，您好，我想请教和在手订单、收入确认相关问题：
公司2026半年报附注披露，截至6月30日已签约、预计7–12月确认收入的履约义务对应金额19,692.21万元。
第一，该部分订单中，三季度已经完成验收、确认收入的金额是多少，剩余预计四季度可确认的金额为多少，当前整体交付验收进度是否符合半年报时的预期？
第二，四季度剩余待验收项目，客户验收节奏由业主方主导，存在延期风险。请问公司目前采取哪些管控措施，推进项目按期交付、取得合规验收凭据；同时如何防范年末集中突击验收，保障收入确认满足控制权转移准则要求、经得起交易所核查？
第三，2026年7月1日后半年报披露新增中标/签约项目，经公司内部评估，预计多大规模的合同金额能够在2026年内完成终验、满足收入确认条件？对于年内大概率无法完成验收的项目，是否已经做好延期的预案？谢谢！</w:t>
            </w:r>
            <w:r>
              <w:rPr>
                <w:rFonts w:ascii="宋体" w:hAnsi="宋体" w:eastAsia="宋体" w:cs="宋体"/>
                <w:b/>
                <w:sz w:val="20"/>
              </w:rPr>
              <w:br w:type="textWrapping"/>
            </w:r>
            <w:r>
              <w:rPr>
                <w:rFonts w:ascii="宋体" w:hAnsi="宋体" w:eastAsia="宋体" w:cs="宋体"/>
                <w:b w:val="0"/>
                <w:sz w:val="20"/>
              </w:rPr>
              <w:t xml:space="preserve">    答:尊敬的投资者，您好！一、根据公司2026年半年度报告披露的在手订单情况，相关项目的交付验收正按合同约定有序推进，各项目具体确认金额及进度将在定期报告中按规定反映，请以公司披露的定期报告为准。二、公司高度重视项目交付与验收管理，统筹调度项目资源，加强项目组织与人员保障，强化与业主方的沟通协调，推动项目按期交付并取得合规验收凭据。三、对于2026年半年度报告披露后新增中标及签约项目，公司将加快推动项目实施与验收落地；相关项目的具体确认情况受实施进度、验收节奏等多重因素影响，请以公司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8.请问，公司有信心有能力今年能完成3亿以上的营收目标吗？</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公司理解您对全年经营情况和相关风险的关切。公司2026年前三季度已实现营业收入1.63亿元，相关数据已在定期报告中披露。第四季度部分已中标及在手项目进入交付验收窗口，管理层正围绕年度经营目标，全力推进订单交付和验收落地，同时严格管控成本费用、提升运营效率，并依托股东资源支持改善经营基本面，以全年营业收入突破3亿元为经营层面的努力方向。敬请广大投资者理性投资，注意投资风险。感谢您对公司的关注。</w:t>
            </w:r>
            <w:r>
              <w:rPr>
                <w:rFonts w:ascii="宋体" w:hAnsi="宋体" w:eastAsia="宋体" w:cs="宋体"/>
                <w:b w:val="0"/>
                <w:sz w:val="20"/>
              </w:rPr>
              <w:br w:type="textWrapping"/>
            </w:r>
            <w:r>
              <w:rPr>
                <w:rFonts w:ascii="宋体" w:hAnsi="宋体" w:eastAsia="宋体" w:cs="宋体"/>
                <w:b/>
                <w:sz w:val="20"/>
              </w:rPr>
              <w:t xml:space="preserve">    9.实达集团四季度会有多少收入</w:t>
            </w:r>
            <w:r>
              <w:rPr>
                <w:rFonts w:ascii="宋体" w:hAnsi="宋体" w:eastAsia="宋体" w:cs="宋体"/>
                <w:b/>
                <w:sz w:val="20"/>
              </w:rPr>
              <w:br w:type="textWrapping"/>
            </w:r>
            <w:r>
              <w:rPr>
                <w:rFonts w:ascii="宋体" w:hAnsi="宋体" w:eastAsia="宋体" w:cs="宋体"/>
                <w:b w:val="0"/>
                <w:sz w:val="20"/>
              </w:rPr>
              <w:t xml:space="preserve">    答:尊敬的投资者，您好！公司将统筹推进在手订单交付与已中标项目落地，紧盯年度经营目标，具体收入确认情况受项目实施进度、客户验收节奏等因素影响，请以公司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10.实达集团四季度有多少定单交付</w:t>
            </w:r>
            <w:r>
              <w:rPr>
                <w:rFonts w:ascii="宋体" w:hAnsi="宋体" w:eastAsia="宋体" w:cs="宋体"/>
                <w:b/>
                <w:sz w:val="20"/>
              </w:rPr>
              <w:br w:type="textWrapping"/>
            </w:r>
            <w:r>
              <w:rPr>
                <w:rFonts w:ascii="宋体" w:hAnsi="宋体" w:eastAsia="宋体" w:cs="宋体"/>
                <w:b w:val="0"/>
                <w:sz w:val="20"/>
              </w:rPr>
              <w:t xml:space="preserve">    答:尊敬的投资者，您好！公司将统筹推进在手订单交付与已中标项目落地，相关项目正按合同约定有序推进实施，公司将按照信息披露规则的有关要求在定期报告中予以反映，具体交付及验收进度受项目实施情况影响，请以公司披露的定期报告为准；若相关事项达到披露标准，公司将严格履行信息披露义务。感谢您对公司的关注。</w:t>
            </w:r>
            <w:r>
              <w:rPr>
                <w:rFonts w:ascii="宋体" w:hAnsi="宋体" w:eastAsia="宋体" w:cs="宋体"/>
                <w:b w:val="0"/>
                <w:sz w:val="20"/>
              </w:rPr>
              <w:br w:type="textWrapping"/>
            </w:r>
            <w:r>
              <w:rPr>
                <w:rFonts w:ascii="宋体" w:hAnsi="宋体" w:eastAsia="宋体" w:cs="宋体"/>
                <w:b/>
                <w:sz w:val="20"/>
              </w:rPr>
              <w:t xml:space="preserve">    11.贵公司如何解决营收不足的问题？</w:t>
            </w:r>
            <w:r>
              <w:rPr>
                <w:rFonts w:ascii="宋体" w:hAnsi="宋体" w:eastAsia="宋体" w:cs="宋体"/>
                <w:b/>
                <w:sz w:val="20"/>
              </w:rPr>
              <w:br w:type="textWrapping"/>
            </w:r>
            <w:r>
              <w:rPr>
                <w:rFonts w:ascii="宋体" w:hAnsi="宋体" w:eastAsia="宋体" w:cs="宋体"/>
                <w:b w:val="0"/>
                <w:sz w:val="20"/>
              </w:rPr>
              <w:t xml:space="preserve">    答:尊敬的投资者，您好！为改善经营状况、力争实现全年经营目标，公司已采取多项针对性举措：一是持续聚焦大数据主业，布局覆盖数智政府、数智教育、智能算力和数据流动等领域的系统集成、运营及软件产品业务，依托“产品化转型+运营化深耕+生态化合作”策略优化业务结构，全力加大市场开拓力度；二是加快推进在手订单交付与已中标项目落地，促进收入按期确认；三是严格控制成本费用，加强内部管理，提升运营效率，同时依托股东资源支持，多措并举持续改善经营基本面。感谢您对公司的关注。</w:t>
            </w:r>
            <w:r>
              <w:rPr>
                <w:rFonts w:ascii="宋体" w:hAnsi="宋体" w:eastAsia="宋体" w:cs="宋体"/>
                <w:b w:val="0"/>
                <w:sz w:val="20"/>
              </w:rPr>
              <w:br w:type="textWrapping"/>
            </w:r>
            <w:r>
              <w:rPr>
                <w:rFonts w:ascii="宋体" w:hAnsi="宋体" w:eastAsia="宋体" w:cs="宋体"/>
                <w:b/>
                <w:sz w:val="20"/>
              </w:rPr>
              <w:t xml:space="preserve">    12.2026年公司有收购，并购或重组计划吗？对长期亏损的分子公司有破产或出售计划吗？</w:t>
            </w:r>
            <w:r>
              <w:rPr>
                <w:rFonts w:ascii="宋体" w:hAnsi="宋体" w:eastAsia="宋体" w:cs="宋体"/>
                <w:b/>
                <w:sz w:val="20"/>
              </w:rPr>
              <w:br w:type="textWrapping"/>
            </w:r>
            <w:r>
              <w:rPr>
                <w:rFonts w:ascii="宋体" w:hAnsi="宋体" w:eastAsia="宋体" w:cs="宋体"/>
                <w:b w:val="0"/>
                <w:sz w:val="20"/>
              </w:rPr>
              <w:t xml:space="preserve">    答:尊敬的投资者，您好！2026年2月12日，公司已完成收购福建数产名商科技有限公司95%股权的相关工商变更登记手续，数产名商已成为公司控股子公司并纳入公司合并报表范围。公司于2026年10月31日披露《关于筹划重大资产重组暨关联交易的提示性公告》，拟以支付现金方式收购福建省凯特科技有限公司不低于51%股权并取得其控制权，本次交易预计构成重大资产重组暨关联交易，公司将根据交易进展及时履行信息披露义务，具体请以公司公告为准。</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关于长期亏损子公司的整合事宜，公司将结合战略发展方向和市场环境，持续优化资源配置，对于不符合公司发展战略的业务，将在审慎评估的基础上研究相应处置安排，并严格按照相关规定履行决策程序和信息披露义务。感谢您对公司的关注。</w:t>
            </w:r>
            <w:r>
              <w:rPr>
                <w:rFonts w:ascii="宋体" w:hAnsi="宋体" w:eastAsia="宋体" w:cs="宋体"/>
                <w:b w:val="0"/>
                <w:sz w:val="20"/>
              </w:rPr>
              <w:br w:type="textWrapping"/>
            </w:r>
            <w:r>
              <w:rPr>
                <w:rFonts w:ascii="宋体" w:hAnsi="宋体" w:eastAsia="宋体" w:cs="宋体"/>
                <w:b/>
                <w:sz w:val="20"/>
              </w:rPr>
              <w:t xml:space="preserve">    13.今年投资者最为关心的是保壳，想问一下公司后面三个月有哪些结算资源？能否保证营收达标</w:t>
            </w:r>
            <w:r>
              <w:rPr>
                <w:rFonts w:ascii="宋体" w:hAnsi="宋体" w:eastAsia="宋体" w:cs="宋体"/>
                <w:b/>
                <w:sz w:val="20"/>
              </w:rPr>
              <w:br w:type="textWrapping"/>
            </w:r>
            <w:r>
              <w:rPr>
                <w:rFonts w:ascii="宋体" w:hAnsi="宋体" w:eastAsia="宋体" w:cs="宋体"/>
                <w:b w:val="0"/>
                <w:sz w:val="20"/>
              </w:rPr>
              <w:t xml:space="preserve">    答:尊敬的投资者，您好！公司目前各项经营活动正常有序，正在全力推进在手订单交付与已中标项目落地，力争实现全年经营目标。相关项目的具体确认情况受实施进度、客户验收节奏等因素影响，公司将严格按照《企业会计准则》的规定进行收入确认，并在定期报告中及时反映，具体请以公司披露的定期报告为准。公司将严格遵守相关规定，全力以赴改善经营基本面。敬请广大投资者注意投资风险。感谢您对公司的关注。</w:t>
            </w:r>
            <w:r>
              <w:rPr>
                <w:rFonts w:ascii="宋体" w:hAnsi="宋体" w:eastAsia="宋体" w:cs="宋体"/>
                <w:b w:val="0"/>
                <w:sz w:val="20"/>
              </w:rPr>
              <w:br w:type="textWrapping"/>
            </w:r>
            <w:r>
              <w:rPr>
                <w:rFonts w:ascii="宋体" w:hAnsi="宋体" w:eastAsia="宋体" w:cs="宋体"/>
                <w:b/>
                <w:sz w:val="20"/>
              </w:rPr>
              <w:t xml:space="preserve">    14.1.公司10月30日公告拟以现金收购凯特科技不低于51%股权，请说明交易对价预计金额、资金来源与支付安排，以及在上市公司货币资金仅1.07亿元的情况下如何保障Q4项目交付与验收的营运资金需求？2.公司2026年三季度单季毛利率仅8.84%，2025年智能算力业务毛利率5.59%。请说明Q4确认1.37亿元收入所对应的项目毛利率水平，以及全年毛利额能否覆盖期间费用。3.36起诉讼累计8958.31万元，占最近一期经审计净资产35.51%，其中河南港投案6874.55万元公司为被告二。请说明该案预计负债的计提是否充分、是否会构成2026年年报的审计保留事项。4.请说明2026年年度报告审计意见的初步沟通情况，以及公司预计能否在2027年4月披露年报时同步消除2024年度保留意见及内部控制否定意见所涉事项的影响。5.上海联通6.74亿元算力服务合同目前的履约进度、已确认收入金额，以及鼓楼智算中心二期延期至2027年12月28日对2026年营收确认的具体影响。</w:t>
            </w:r>
            <w:r>
              <w:rPr>
                <w:rFonts w:ascii="宋体" w:hAnsi="宋体" w:eastAsia="宋体" w:cs="宋体"/>
                <w:b/>
                <w:sz w:val="20"/>
              </w:rPr>
              <w:br w:type="textWrapping"/>
            </w:r>
            <w:r>
              <w:rPr>
                <w:rFonts w:ascii="宋体" w:hAnsi="宋体" w:eastAsia="宋体" w:cs="宋体"/>
                <w:b w:val="0"/>
                <w:sz w:val="20"/>
              </w:rPr>
              <w:t xml:space="preserve">    答:尊敬的投资者，您好！针对您关注的问题回复如下：一、关于收购凯特科技事项，本次交易尚处于筹划阶段，交易价格、交易方案尚未确定，最终股权收购价格将以经国有资产监督管理部门备案的资产评估值为基础，由交易双方协商确定，本次交易资金来源主要为自有或自筹资金，公司将统筹安排资金，保障各项经营活动正常开展，具体方案以后续披露的交易预案或报告书（草案）为准。</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二、公司将持续推进降本增效，压降期间费用，努力提升整体盈利水平，具体项目的毛利率及全年经营业绩情况请以公司披露的定期报告为准。三、河南港投案件系全资子公司中科融通的借款合同纠纷引起的，相关债务本息已严格遵循《企业会计准则》的规定在前期财务报表中确认，预计该事项对公司本期及期后利润影响较小。四、公司与年审会计师事务所保持正常沟通，2026年年报审计意见请以公司后续披露的公告为准。公司2024年年度报告不涉及保留意见。五、相关情况请以公司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15.请管理层正面明确回答：结合目前在手订单、验收节奏、诉讼风险、立案进度，公司今年顺利保住3亿营收、成功保壳的确定性大概多少？（给出确定性比例）</w:t>
            </w:r>
            <w:r>
              <w:rPr>
                <w:rFonts w:ascii="宋体" w:hAnsi="宋体" w:eastAsia="宋体" w:cs="宋体"/>
                <w:b/>
                <w:sz w:val="20"/>
              </w:rPr>
              <w:br w:type="textWrapping"/>
            </w:r>
            <w:r>
              <w:rPr>
                <w:rFonts w:ascii="宋体" w:hAnsi="宋体" w:eastAsia="宋体" w:cs="宋体"/>
                <w:b w:val="0"/>
                <w:sz w:val="20"/>
              </w:rPr>
              <w:t xml:space="preserve">    答:尊敬的投资者，您好！公司理解投资者对全年经营情况的关切，但受项目实施进度、客户验收节奏等多重因素影响，公司无法对年度经营业绩作出量化预测或承诺。公司将紧盯年度经营目标，统筹推进在手订单交付与已中标项目落地，力争实现全年经营目标。感谢您对公司的关注。</w:t>
            </w:r>
            <w:r>
              <w:rPr>
                <w:rFonts w:ascii="宋体" w:hAnsi="宋体" w:eastAsia="宋体" w:cs="宋体"/>
                <w:b w:val="0"/>
                <w:sz w:val="20"/>
              </w:rPr>
              <w:br w:type="textWrapping"/>
            </w:r>
            <w:r>
              <w:rPr>
                <w:rFonts w:ascii="宋体" w:hAnsi="宋体" w:eastAsia="宋体" w:cs="宋体"/>
                <w:b/>
                <w:sz w:val="20"/>
              </w:rPr>
              <w:t xml:space="preserve">    16.半年报披露，有19692.21万元合同履约义务预计2026年7-12月确认收入。三季度已经确认5630万，请问：①剩余约1.4亿的待确认履约收入，目前最新评估，确定能在2026年内验收确认的金额是多少？有没有部分项目预计跨年？②这19692万里面，包含南平、三医联动、数产名商算力、福州新区分别是多少金额？8亿在手订单里面，有没有明确具备年底验收条件的项目？</w:t>
            </w:r>
            <w:r>
              <w:rPr>
                <w:rFonts w:ascii="宋体" w:hAnsi="宋体" w:eastAsia="宋体" w:cs="宋体"/>
                <w:b/>
                <w:sz w:val="20"/>
              </w:rPr>
              <w:br w:type="textWrapping"/>
            </w:r>
            <w:r>
              <w:rPr>
                <w:rFonts w:ascii="宋体" w:hAnsi="宋体" w:eastAsia="宋体" w:cs="宋体"/>
                <w:b w:val="0"/>
                <w:sz w:val="20"/>
              </w:rPr>
              <w:t xml:space="preserve">    答:尊敬的投资者，您好！公司2026年半年度报告披露的已签约、预计2026年7-12月确认收入的履约义务金额为19,692.21万元，相关项目目前正按合同约定有序推进交付验收。各项收入的确认需满足合同约定的验收条件并遵循《企业会计准则》的规定，</w:t>
            </w:r>
            <w:r>
              <w:rPr>
                <w:rFonts w:hint="eastAsia" w:ascii="宋体" w:hAnsi="宋体" w:eastAsia="宋体" w:cs="宋体"/>
                <w:b w:val="0"/>
                <w:sz w:val="20"/>
                <w:lang w:val="en-US" w:eastAsia="zh-CN"/>
              </w:rPr>
              <w:t>相关情况</w:t>
            </w:r>
            <w:r>
              <w:rPr>
                <w:rFonts w:ascii="宋体" w:hAnsi="宋体" w:eastAsia="宋体" w:cs="宋体"/>
                <w:b w:val="0"/>
                <w:sz w:val="20"/>
              </w:rPr>
              <w:t>请以公司披露的定期报告为准。关于订单的结构分布及各项目具体金额，公司将按照信息披露规则的有关要求在定期报告中予以反映。感谢您对公司的关注。</w:t>
            </w:r>
            <w:r>
              <w:rPr>
                <w:rFonts w:ascii="宋体" w:hAnsi="宋体" w:eastAsia="宋体" w:cs="宋体"/>
                <w:b w:val="0"/>
                <w:sz w:val="20"/>
              </w:rPr>
              <w:br w:type="textWrapping"/>
            </w:r>
            <w:r>
              <w:rPr>
                <w:rFonts w:ascii="宋体" w:hAnsi="宋体" w:eastAsia="宋体" w:cs="宋体"/>
                <w:b/>
                <w:sz w:val="20"/>
              </w:rPr>
              <w:t xml:space="preserve">    17.投资者留意到，公司2023年曾筹划收购星云大数据，最后终止。本次收购凯特科技同样是国资体系内意向收购，想请教管理层：本次凯特交易，和当年星云收购相比，在推进前提、业务协同逻辑、国资内部决策机制上，有哪些本质区别？本次意向是否有明确的落地约束，避免出现类似上次终止的情况？</w:t>
            </w:r>
            <w:r>
              <w:rPr>
                <w:rFonts w:ascii="宋体" w:hAnsi="宋体" w:eastAsia="宋体" w:cs="宋体"/>
                <w:b/>
                <w:sz w:val="20"/>
              </w:rPr>
              <w:br w:type="textWrapping"/>
            </w:r>
            <w:r>
              <w:rPr>
                <w:rFonts w:ascii="宋体" w:hAnsi="宋体" w:eastAsia="宋体" w:cs="宋体"/>
                <w:b w:val="0"/>
                <w:sz w:val="20"/>
              </w:rPr>
              <w:t xml:space="preserve">    答:尊敬的投资者，您好！公司正筹划以现金方式收购凯特科技不低于51%股权，该事项尚处于筹划阶段，预计无法在2026年度内完成，对公司2026年度财务数据无影响。凯特科技主营业务为数字安全领域的软件开发、技术服务</w:t>
            </w:r>
            <w:r>
              <w:rPr>
                <w:rFonts w:hint="eastAsia" w:ascii="宋体" w:hAnsi="宋体" w:eastAsia="宋体" w:cs="宋体"/>
                <w:b w:val="0"/>
                <w:sz w:val="20"/>
                <w:lang w:val="en-US" w:eastAsia="zh-CN"/>
              </w:rPr>
              <w:t>等</w:t>
            </w:r>
            <w:r>
              <w:rPr>
                <w:rFonts w:ascii="宋体" w:hAnsi="宋体" w:eastAsia="宋体" w:cs="宋体"/>
                <w:b w:val="0"/>
                <w:sz w:val="20"/>
              </w:rPr>
              <w:t>，与公司主营业务具有契合度和协同效应；如交易顺利完成，预计有助于提升公司主营业务收入和利润规模，进一步聚焦主责主业。</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18.证监会立案调查针对2023半年报的立案调查，目前核查进度到哪一步？年内是否可以结案？是否存在处罚落地、追溯调整财报风险？立案调查结论是否会影响2026年年报审计结果、摘帽进度、保壳有效性？</w:t>
            </w:r>
            <w:r>
              <w:rPr>
                <w:rFonts w:ascii="宋体" w:hAnsi="宋体" w:eastAsia="宋体" w:cs="宋体"/>
                <w:b/>
                <w:sz w:val="20"/>
              </w:rPr>
              <w:br w:type="textWrapping"/>
            </w:r>
            <w:r>
              <w:rPr>
                <w:rFonts w:ascii="宋体" w:hAnsi="宋体" w:eastAsia="宋体" w:cs="宋体"/>
                <w:b w:val="0"/>
                <w:sz w:val="20"/>
              </w:rPr>
              <w:t xml:space="preserve">    答:尊敬的投资者，您好！公司于2026年8月7日收到中国证券监督管理委员会《立案告知书》，因公司2023年半年报涉嫌信息披露违法违规被立案调查，本次立案调查不涉及其他年度。公司正积极配合中国证监会的相关调查工作，立案调查的进展情况请以公司披露的公告为准。立案调查期间，公司将严格按照监管要求履行信息披露义务。敬请广大投资者理性投资，注意投资风险。感谢您对公司的关注。</w:t>
            </w:r>
            <w:r>
              <w:rPr>
                <w:rFonts w:ascii="宋体" w:hAnsi="宋体" w:eastAsia="宋体" w:cs="宋体"/>
                <w:b w:val="0"/>
                <w:sz w:val="20"/>
              </w:rPr>
              <w:br w:type="textWrapping"/>
            </w:r>
            <w:r>
              <w:rPr>
                <w:rFonts w:ascii="宋体" w:hAnsi="宋体" w:eastAsia="宋体" w:cs="宋体"/>
                <w:b/>
                <w:sz w:val="20"/>
              </w:rPr>
              <w:t xml:space="preserve">    19.中科融通相关纠纷属于历史遗留事项，公司此前表态上市公司没有提供担保、和上市公司无关，后续是否还有衍生或有负债风险？目前案件最新进展是怎样的？中科融通持续亏损、债务缠身，公司是否有明确剥离时间表？年内是否会完成出清？</w:t>
            </w:r>
            <w:r>
              <w:rPr>
                <w:rFonts w:ascii="宋体" w:hAnsi="宋体" w:eastAsia="宋体" w:cs="宋体"/>
                <w:b/>
                <w:sz w:val="20"/>
              </w:rPr>
              <w:br w:type="textWrapping"/>
            </w:r>
            <w:r>
              <w:rPr>
                <w:rFonts w:ascii="宋体" w:hAnsi="宋体" w:eastAsia="宋体" w:cs="宋体"/>
                <w:b w:val="0"/>
                <w:sz w:val="20"/>
              </w:rPr>
              <w:t xml:space="preserve">    答:尊敬的投资者，您好！关于涉诉事项，公司为独立法人主体，未对相关债务提供担保，相关债务本息已严格遵循《企业会计准则》的规定在前期财务报表中确认，预计对公司本期及期后利润影响较小。因相关诉讼尚未开庭审理，最终的会计处理结果及对公司利润的具体影响，将以年度审计机构出具的审计意见为准。关于中科融通的经营及整合安排，公司将结合战略发展方向和市场环境，持续优化资源配置，在审慎评估的基础上研究相应处置安排，并严格按照相关规定履行决策程序和信息披露义务。感谢您对公司的关注。</w:t>
            </w:r>
            <w:r>
              <w:rPr>
                <w:rFonts w:ascii="宋体" w:hAnsi="宋体" w:eastAsia="宋体" w:cs="宋体"/>
                <w:b w:val="0"/>
                <w:sz w:val="20"/>
              </w:rPr>
              <w:br w:type="textWrapping"/>
            </w:r>
            <w:r>
              <w:rPr>
                <w:rFonts w:ascii="宋体" w:hAnsi="宋体" w:eastAsia="宋体" w:cs="宋体"/>
                <w:b/>
                <w:sz w:val="20"/>
              </w:rPr>
              <w:t xml:space="preserve">    20.本次收购凯特科技意向，请问交易的资金筹措方案是怎么规划？当前立案调查事项，会对本次收购的审计评估、国资审批、交割落地带来哪些实质性影响？本次收购资金是否会占用现有项目运营回款？</w:t>
            </w:r>
            <w:r>
              <w:rPr>
                <w:rFonts w:ascii="宋体" w:hAnsi="宋体" w:eastAsia="宋体" w:cs="宋体"/>
                <w:b/>
                <w:sz w:val="20"/>
              </w:rPr>
              <w:br w:type="textWrapping"/>
            </w:r>
            <w:r>
              <w:rPr>
                <w:rFonts w:ascii="宋体" w:hAnsi="宋体" w:eastAsia="宋体" w:cs="宋体"/>
                <w:b w:val="0"/>
                <w:sz w:val="20"/>
              </w:rPr>
              <w:t xml:space="preserve">    答:尊敬的投资者，您好，本次收购凯特科技股权的资金来源主要为自有或自筹资金。关于立案调查相关事项，本次立案调查涉及公司2023年半年报涉嫌信息披露违法违规相关事项，不涉及其他年度，是否对本次收购构成影响存在不确定性。后续公司将严格按照相关规定推进本次重组各项程序，及时披露相关进展情况。</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21.福建万福网科技有限公司源网荷储一体化虚拟电厂智慧生态聚合建设项目——政务云扩容（二期）项目目前已交付验收了吗？</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相关信息请以公司披露的定期报告为准</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22.2025年福州联通数据基础设施建设集群类项目交付验收了吗</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相关信息请以公司披露的定期报告为准</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23.公告并购，资金来源目前实达集团账面资金较少，自筹资金是否来自母公司支持！</w:t>
            </w:r>
            <w:r>
              <w:rPr>
                <w:rFonts w:ascii="宋体" w:hAnsi="宋体" w:eastAsia="宋体" w:cs="宋体"/>
                <w:b/>
                <w:sz w:val="20"/>
              </w:rPr>
              <w:br w:type="textWrapping"/>
            </w:r>
            <w:r>
              <w:rPr>
                <w:rFonts w:ascii="宋体" w:hAnsi="宋体" w:eastAsia="宋体" w:cs="宋体"/>
                <w:b w:val="0"/>
                <w:sz w:val="20"/>
              </w:rPr>
              <w:t xml:space="preserve">    答:尊敬的投资者，您好！本次收购凯特科技的资金来源主要为自有或自筹资金。本次交易尚处于筹划阶段，交易价格、支付方式等尚未确定，具体资金安排以后续披露的交易预案或报告书（草案）为准，公司将根据交易进展及时履行信息披露义务。</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24.南平市数字产业发展有限公司GXYQ一批设备类采购项目是否在交付验收了？</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相关信息请以公司披露的定期报告为准</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25.福建省数字政务建设运营有限公司国家数据基础设施（福建）区域功能节点项目（硬件部分）该项目目前最新进展</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相关信息请以公司披露的定期报告为准</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26.三季度，数产名商有多少收入？数产名商利润下降这么快的原因是什么？</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相关信息请以公司披露的定期报告为准</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27.截止到9月底，公司在手订单合计有多少？</w:t>
            </w:r>
            <w:r>
              <w:rPr>
                <w:rFonts w:ascii="宋体" w:hAnsi="宋体" w:eastAsia="宋体" w:cs="宋体"/>
                <w:b/>
                <w:sz w:val="20"/>
              </w:rPr>
              <w:br w:type="textWrapping"/>
            </w:r>
            <w:r>
              <w:rPr>
                <w:rFonts w:ascii="宋体" w:hAnsi="宋体" w:eastAsia="宋体" w:cs="宋体"/>
                <w:b w:val="0"/>
                <w:sz w:val="20"/>
              </w:rPr>
              <w:t xml:space="preserve">    答:尊敬的投资者，您好！公司在手订单及已签约未履行履约义务等经营信息，公司将按照信息披露规则的有关要求在定期报告中予以反映，具体请以公司披露的定期报告为准。公司正全力推进在手订单交付与已中标项目落地，力争实现全年经营目标。感谢您对公司的关注。</w:t>
            </w:r>
            <w:r>
              <w:rPr>
                <w:rFonts w:ascii="宋体" w:hAnsi="宋体" w:eastAsia="宋体" w:cs="宋体"/>
                <w:b w:val="0"/>
                <w:sz w:val="20"/>
              </w:rPr>
              <w:br w:type="textWrapping"/>
            </w:r>
            <w:r>
              <w:rPr>
                <w:rFonts w:ascii="宋体" w:hAnsi="宋体" w:eastAsia="宋体" w:cs="宋体"/>
                <w:b/>
                <w:sz w:val="20"/>
              </w:rPr>
              <w:t xml:space="preserve">    28.除了目前公告的福建省凯特科技有限公司，公司是否还有潜在的并购标的？比如你的参顾公司福建省星汉智能科技有限公司？</w:t>
            </w:r>
            <w:r>
              <w:rPr>
                <w:rFonts w:ascii="宋体" w:hAnsi="宋体" w:eastAsia="宋体" w:cs="宋体"/>
                <w:b/>
                <w:sz w:val="20"/>
              </w:rPr>
              <w:br w:type="textWrapping"/>
            </w:r>
            <w:r>
              <w:rPr>
                <w:rFonts w:ascii="宋体" w:hAnsi="宋体" w:eastAsia="宋体" w:cs="宋体"/>
                <w:b w:val="0"/>
                <w:sz w:val="20"/>
              </w:rPr>
              <w:t xml:space="preserve">    答:尊敬的投资者，您好！除已披露的收购凯特科技事项外，公司目前不存在其他应披露而未披露的重大信息。若未来发生达到披露标准的重大事项，公司将严格按照相关规定及时履行信息披露义务。敬请广大投资者以公司披露的公告为准，注意投资风险。感谢您对公司的关注。</w:t>
            </w:r>
            <w:r>
              <w:rPr>
                <w:rFonts w:ascii="宋体" w:hAnsi="宋体" w:eastAsia="宋体" w:cs="宋体"/>
                <w:b w:val="0"/>
                <w:sz w:val="20"/>
              </w:rPr>
              <w:br w:type="textWrapping"/>
            </w:r>
            <w:r>
              <w:rPr>
                <w:rFonts w:ascii="宋体" w:hAnsi="宋体" w:eastAsia="宋体" w:cs="宋体"/>
                <w:b/>
                <w:sz w:val="20"/>
              </w:rPr>
              <w:t xml:space="preserve">    29.中科融通物联科技无锡有限公司该公司后期会剥离吗</w:t>
            </w:r>
            <w:r>
              <w:rPr>
                <w:rFonts w:ascii="宋体" w:hAnsi="宋体" w:eastAsia="宋体" w:cs="宋体"/>
                <w:b/>
                <w:sz w:val="20"/>
              </w:rPr>
              <w:br w:type="textWrapping"/>
            </w:r>
            <w:r>
              <w:rPr>
                <w:rFonts w:ascii="宋体" w:hAnsi="宋体" w:eastAsia="宋体" w:cs="宋体"/>
                <w:b w:val="0"/>
                <w:sz w:val="20"/>
              </w:rPr>
              <w:t xml:space="preserve">    答:尊敬的投资者，您好，中科融通物联科技无锡有限公司系公司全资子公司，公司高度重视其经营情况及资产业务整合。公司将结合战略发展方向和市场环境，持续优化资源配置、强化内控管理，若有相应处置安排，公司将严格按照相关规定履行决策程序和信息披露义务。感谢您对公司的关注。</w:t>
            </w:r>
            <w:r>
              <w:rPr>
                <w:rFonts w:ascii="宋体" w:hAnsi="宋体" w:eastAsia="宋体" w:cs="宋体"/>
                <w:b w:val="0"/>
                <w:sz w:val="20"/>
              </w:rPr>
              <w:br w:type="textWrapping"/>
            </w:r>
            <w:r>
              <w:rPr>
                <w:rFonts w:ascii="宋体" w:hAnsi="宋体" w:eastAsia="宋体" w:cs="宋体"/>
                <w:b/>
                <w:sz w:val="20"/>
              </w:rPr>
              <w:t xml:space="preserve">    30.1.福州新区合同：2026年能验收并计入营收吗？按总额法还是净额法？2.请说明上半年智能算力、数智政企等各板块，按总额法和净额法分别确认的收入金额各是多少？3.第三季度确认收入的主要项目中，哪些采用了总额法、哪些采用了净额法？判断依据分别是什么？</w:t>
            </w:r>
            <w:r>
              <w:rPr>
                <w:rFonts w:ascii="宋体" w:hAnsi="宋体" w:eastAsia="宋体" w:cs="宋体"/>
                <w:b/>
                <w:sz w:val="20"/>
              </w:rPr>
              <w:br w:type="textWrapping"/>
            </w:r>
            <w:r>
              <w:rPr>
                <w:rFonts w:ascii="宋体" w:hAnsi="宋体" w:eastAsia="宋体" w:cs="宋体"/>
                <w:b w:val="0"/>
                <w:sz w:val="20"/>
              </w:rPr>
              <w:t xml:space="preserve">    答:尊敬的投资者，您好！福州新区项目目前正积极推进相关工作，相关项目收入将严格按照企业会计准则及合同约定进行确认，具体确认时点受项目验收进度等因素影响，收入确认结果请以公司在定期报告中披露的为准。公司严格按照《企业会计准则第14号--收入》及监管规定，根据各项业务的具体合同和业务实质判断收入确认方式，坚持收入确认的合规性、谨慎性和一致性。公司各业务收入确认结果以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31.公司2026年营收能达到3亿吗？2026年营收采用总额法还是净额法？</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公司理解您对全年经营情况和相关风险的关切。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公司严格按照《企业会计准则第14号--收入》及监管规定，根据各项业务的具体合同和业务实质判断收入确认方式，坚持收入确认的合规性、谨慎性和一致性。公司各业务收入确认结果已在定期报告中披露，</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32.实达集团对2026年营收过3亿，并实现st摘帽，公司管理层有几分把握？作为个人投资者，对实达集团能否还有信心，目前非常纠结</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管理层正通过持续聚焦主业、强化内控、降本增效及依托股东资源支持等多措并举，全力改善基本面。公司将继续依托控股股东的资源整合能力，聚焦数智政企、数智教育、智能算力和数据流动领域，全力改善经营基本面。感谢您对公司的关注。</w:t>
            </w:r>
            <w:r>
              <w:rPr>
                <w:rFonts w:ascii="宋体" w:hAnsi="宋体" w:eastAsia="宋体" w:cs="宋体"/>
                <w:b w:val="0"/>
                <w:sz w:val="20"/>
              </w:rPr>
              <w:br w:type="textWrapping"/>
            </w:r>
            <w:r>
              <w:rPr>
                <w:rFonts w:ascii="宋体" w:hAnsi="宋体" w:eastAsia="宋体" w:cs="宋体"/>
                <w:b/>
                <w:sz w:val="20"/>
              </w:rPr>
              <w:t xml:space="preserve">    33.贵公司预计今年总营收多少？</w:t>
            </w:r>
            <w:r>
              <w:rPr>
                <w:rFonts w:ascii="宋体" w:hAnsi="宋体" w:eastAsia="宋体" w:cs="宋体"/>
                <w:b/>
                <w:sz w:val="20"/>
              </w:rPr>
              <w:br w:type="textWrapping"/>
            </w:r>
            <w:r>
              <w:rPr>
                <w:rFonts w:ascii="宋体" w:hAnsi="宋体" w:eastAsia="宋体" w:cs="宋体"/>
                <w:b w:val="0"/>
                <w:sz w:val="20"/>
              </w:rPr>
              <w:t xml:space="preserve">    答:尊敬的投资者，您好！具体</w:t>
            </w:r>
            <w:r>
              <w:rPr>
                <w:rFonts w:hint="eastAsia" w:ascii="宋体" w:hAnsi="宋体" w:eastAsia="宋体" w:cs="宋体"/>
                <w:b w:val="0"/>
                <w:sz w:val="20"/>
                <w:lang w:val="en-US" w:eastAsia="zh-CN"/>
              </w:rPr>
              <w:t>情况</w:t>
            </w:r>
            <w:r>
              <w:rPr>
                <w:rFonts w:ascii="宋体" w:hAnsi="宋体" w:eastAsia="宋体" w:cs="宋体"/>
                <w:b w:val="0"/>
                <w:sz w:val="20"/>
              </w:rPr>
              <w:t>以公司定期报告为准。公司目前正围绕年度经营目标，全力攻坚，加快在手订单交付和已中标项目落地验收，力争实现全年经营目标。感谢您对公司的关注。</w:t>
            </w:r>
            <w:r>
              <w:rPr>
                <w:rFonts w:ascii="宋体" w:hAnsi="宋体" w:eastAsia="宋体" w:cs="宋体"/>
                <w:b w:val="0"/>
                <w:sz w:val="20"/>
              </w:rPr>
              <w:br w:type="textWrapping"/>
            </w:r>
            <w:r>
              <w:rPr>
                <w:rFonts w:ascii="宋体" w:hAnsi="宋体" w:eastAsia="宋体" w:cs="宋体"/>
                <w:b/>
                <w:sz w:val="20"/>
              </w:rPr>
              <w:t xml:space="preserve">    34.尊敬的各位领导，请问今年能否达到三亿营收，可否给出一个准确答复？谢谢</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公司理解您对全年经营情况和相关风险的关切。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35.保壳有信心吗</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答:尊敬的投资者，您好！当前公司生产经营正常，公司理解您对全年经营情况和相关风险的关切。公司2026年前三季度已实现营业收入1.63亿元，相关数据已在定期报告中披露。管理层正围绕年度经营目标，聚焦</w:t>
            </w:r>
            <w:r>
              <w:rPr>
                <w:rFonts w:hint="eastAsia" w:ascii="宋体" w:hAnsi="宋体" w:eastAsia="宋体" w:cs="宋体"/>
                <w:b w:val="0"/>
                <w:sz w:val="20"/>
                <w:lang w:val="en-US" w:eastAsia="zh-CN"/>
              </w:rPr>
              <w:t>数智</w:t>
            </w:r>
            <w:r>
              <w:rPr>
                <w:rFonts w:ascii="宋体" w:hAnsi="宋体" w:eastAsia="宋体" w:cs="宋体"/>
                <w:b w:val="0"/>
                <w:sz w:val="20"/>
              </w:rPr>
              <w:t>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36.实达集团四季度有多少定单服，2026年全年赢收能突破三亿元吗</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公司理解您对全年经营情况和相关风险的关切。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37.请问今年能过三亿营收吗</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公司理解您对全年经营情况和相关风险的关切。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38.2026年营收采用总额法吗？</w:t>
            </w:r>
            <w:r>
              <w:rPr>
                <w:rFonts w:ascii="宋体" w:hAnsi="宋体" w:eastAsia="宋体" w:cs="宋体"/>
                <w:b/>
                <w:sz w:val="20"/>
              </w:rPr>
              <w:br w:type="textWrapping"/>
            </w:r>
            <w:r>
              <w:rPr>
                <w:rFonts w:ascii="宋体" w:hAnsi="宋体" w:eastAsia="宋体" w:cs="宋体"/>
                <w:b w:val="0"/>
                <w:sz w:val="20"/>
              </w:rPr>
              <w:t xml:space="preserve">    答:尊敬的投资者，您好！公司严格按照《企业会计准则第14号--收入》及监管规定，根据各项业务的具体合同和业务实质判断收入确认方式，坚持收入确认的合规性、谨慎性和一致性。感谢您对公司的关注。</w:t>
            </w:r>
            <w:r>
              <w:rPr>
                <w:rFonts w:ascii="宋体" w:hAnsi="宋体" w:eastAsia="宋体" w:cs="宋体"/>
                <w:b w:val="0"/>
                <w:sz w:val="20"/>
              </w:rPr>
              <w:br w:type="textWrapping"/>
            </w:r>
            <w:r>
              <w:rPr>
                <w:rFonts w:ascii="宋体" w:hAnsi="宋体" w:eastAsia="宋体" w:cs="宋体"/>
                <w:b/>
                <w:sz w:val="20"/>
              </w:rPr>
              <w:t xml:space="preserve">    39.今年有盈利的希望和信心吗</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公司理解您对全年经营情况和相关风险的关切。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w:t>
            </w:r>
            <w:r>
              <w:rPr>
                <w:rFonts w:hint="eastAsia" w:ascii="宋体" w:hAnsi="宋体" w:eastAsia="宋体" w:cs="宋体"/>
                <w:b w:val="0"/>
                <w:sz w:val="20"/>
                <w:lang w:eastAsia="zh-CN"/>
              </w:rPr>
              <w:t>。</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40.26年的营收指标完成3亿元以上的可能性有多大</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41.与凯特科技合并有一个时间计划表吗</w:t>
            </w:r>
            <w:r>
              <w:rPr>
                <w:rFonts w:ascii="宋体" w:hAnsi="宋体" w:eastAsia="宋体" w:cs="宋体"/>
                <w:b/>
                <w:sz w:val="20"/>
              </w:rPr>
              <w:br w:type="textWrapping"/>
            </w:r>
            <w:r>
              <w:rPr>
                <w:rFonts w:ascii="宋体" w:hAnsi="宋体" w:eastAsia="宋体" w:cs="宋体"/>
                <w:b w:val="0"/>
                <w:sz w:val="20"/>
              </w:rPr>
              <w:t xml:space="preserve">    答:尊敬的投资者，您好！本次收购尚处于筹划阶段，交易价格、支付方式等尚未确定，具体资金安排以后续披露的交易预案或报告书（草案）为准，公司将根据交易进展及时履行信息披露义务。</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42.业绩能不能完成保壳？</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43.公司有没有绝对把握保壳成功？2026年第四季度业绩收入预计多少</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44.2026年8月7日对2023年立案的，会不会造成2026年年报后去三板？</w:t>
            </w:r>
            <w:r>
              <w:rPr>
                <w:rFonts w:ascii="宋体" w:hAnsi="宋体" w:eastAsia="宋体" w:cs="宋体"/>
                <w:b/>
                <w:sz w:val="20"/>
              </w:rPr>
              <w:br w:type="textWrapping"/>
            </w:r>
            <w:r>
              <w:rPr>
                <w:rFonts w:ascii="宋体" w:hAnsi="宋体" w:eastAsia="宋体" w:cs="宋体"/>
                <w:b w:val="0"/>
                <w:sz w:val="20"/>
              </w:rPr>
              <w:t xml:space="preserve">    答:尊敬的投资者，您好！目前公司因2023年半年报相关事项被证监会立案调查，不涉及其他年度，感谢您对公司的关注。</w:t>
            </w:r>
            <w:r>
              <w:rPr>
                <w:rFonts w:ascii="宋体" w:hAnsi="宋体" w:eastAsia="宋体" w:cs="宋体"/>
                <w:b w:val="0"/>
                <w:sz w:val="20"/>
              </w:rPr>
              <w:br w:type="textWrapping"/>
            </w:r>
            <w:r>
              <w:rPr>
                <w:rFonts w:ascii="宋体" w:hAnsi="宋体" w:eastAsia="宋体" w:cs="宋体"/>
                <w:b/>
                <w:sz w:val="20"/>
              </w:rPr>
              <w:t xml:space="preserve">    45.请领导评估分析一下今年st实达营收与业绩能否达到摘帽标准？</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46.公司或控股股东为何不增持回购，以显示发展信心。有没有相关计划？</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rPr>
              <w:t>目前公司暂未收到控股股东相关增持计划</w:t>
            </w:r>
            <w:r>
              <w:rPr>
                <w:rFonts w:ascii="宋体" w:hAnsi="宋体" w:eastAsia="宋体" w:cs="宋体"/>
                <w:b w:val="0"/>
                <w:sz w:val="20"/>
              </w:rPr>
              <w:t>，若涉及相关事项，公司将依规履行信息披露义务。感谢您对公司的关注。</w:t>
            </w:r>
            <w:r>
              <w:rPr>
                <w:rFonts w:ascii="宋体" w:hAnsi="宋体" w:eastAsia="宋体" w:cs="宋体"/>
                <w:b w:val="0"/>
                <w:sz w:val="20"/>
              </w:rPr>
              <w:br w:type="textWrapping"/>
            </w:r>
            <w:r>
              <w:rPr>
                <w:rFonts w:ascii="宋体" w:hAnsi="宋体" w:eastAsia="宋体" w:cs="宋体"/>
                <w:b/>
                <w:sz w:val="20"/>
              </w:rPr>
              <w:t xml:space="preserve">    47.公司现在有哪些保壳动作</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48.请问现在股东人数是多少</w:t>
            </w:r>
            <w:r>
              <w:rPr>
                <w:rFonts w:ascii="宋体" w:hAnsi="宋体" w:eastAsia="宋体" w:cs="宋体"/>
                <w:b/>
                <w:sz w:val="20"/>
              </w:rPr>
              <w:br w:type="textWrapping"/>
            </w:r>
            <w:r>
              <w:rPr>
                <w:rFonts w:ascii="宋体" w:hAnsi="宋体" w:eastAsia="宋体" w:cs="宋体"/>
                <w:b w:val="0"/>
                <w:sz w:val="20"/>
              </w:rPr>
              <w:t xml:space="preserve">    答:尊敬的投资者，您好！公司股东人数依规在定期报告中进行披露，感谢您对公司的关注</w:t>
            </w:r>
            <w:r>
              <w:rPr>
                <w:rFonts w:hint="eastAsia" w:ascii="宋体" w:hAnsi="宋体" w:eastAsia="宋体" w:cs="宋体"/>
                <w:b w:val="0"/>
                <w:sz w:val="20"/>
                <w:lang w:eastAsia="zh-CN"/>
              </w:rPr>
              <w:t>。</w:t>
            </w:r>
            <w:r>
              <w:rPr>
                <w:rFonts w:ascii="宋体" w:hAnsi="宋体" w:eastAsia="宋体" w:cs="宋体"/>
                <w:b w:val="0"/>
                <w:sz w:val="20"/>
              </w:rPr>
              <w:br w:type="textWrapping"/>
            </w:r>
            <w:r>
              <w:rPr>
                <w:rFonts w:ascii="宋体" w:hAnsi="宋体" w:eastAsia="宋体" w:cs="宋体"/>
                <w:b/>
                <w:sz w:val="20"/>
              </w:rPr>
              <w:t xml:space="preserve">    49.公司第三季度营业额较上一年有所增长，主要是什么因素增长的，接下来一个季度还有增长因素吗？有信心取得更大的营收吗</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50.第四季度的业绩是否能完成保壳计划，目前有何规划</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51.公司管理层</w:t>
            </w:r>
            <w:r>
              <w:rPr>
                <w:rFonts w:hint="eastAsia" w:ascii="宋体" w:hAnsi="宋体" w:eastAsia="宋体" w:cs="宋体"/>
                <w:b/>
                <w:sz w:val="20"/>
                <w:lang w:eastAsia="zh-CN"/>
              </w:rPr>
              <w:t>：</w:t>
            </w:r>
            <w:r>
              <w:rPr>
                <w:rFonts w:ascii="宋体" w:hAnsi="宋体" w:eastAsia="宋体" w:cs="宋体"/>
                <w:b/>
                <w:sz w:val="20"/>
              </w:rPr>
              <w:t>1.福州新区合同：2026年能验收并计入营收吗？按总额法还是净额法？2.请说明上半年智能算力、数智政企等各板块，按总额法和净额法分别确认的收入金额各是多少？3.第三季度确认收入的主要项目中，哪些采用了总额法、哪些采用了净额法？判断依据分别是什么？</w:t>
            </w:r>
            <w:r>
              <w:rPr>
                <w:rFonts w:ascii="宋体" w:hAnsi="宋体" w:eastAsia="宋体" w:cs="宋体"/>
                <w:b/>
                <w:sz w:val="20"/>
              </w:rPr>
              <w:br w:type="textWrapping"/>
            </w:r>
            <w:r>
              <w:rPr>
                <w:rFonts w:ascii="宋体" w:hAnsi="宋体" w:eastAsia="宋体" w:cs="宋体"/>
                <w:b w:val="0"/>
                <w:sz w:val="20"/>
              </w:rPr>
              <w:t xml:space="preserve">    答:尊敬的投资者，您好！福州新区项目目前正积极推进相关工作，相关项目收入将严格按照企业会计准则及合同约定进行确认，具体确认时点受项目验收进度等因素影响，收入确认结果请以公司在定期报告中披露的为准。公司严格按照《企业会计准则第14号--收入》及监管规定，根据各项业务的具体合同和业务实质判断收入确认方式，坚持收入确认的合规性、谨慎性和一致性。公司各业务收入确认结果以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52.公司管理层：请问公司2026年的营业收入是采用总额法计算还是采用净额法计算？</w:t>
            </w:r>
            <w:r>
              <w:rPr>
                <w:rFonts w:ascii="宋体" w:hAnsi="宋体" w:eastAsia="宋体" w:cs="宋体"/>
                <w:b/>
                <w:sz w:val="20"/>
              </w:rPr>
              <w:br w:type="textWrapping"/>
            </w:r>
            <w:r>
              <w:rPr>
                <w:rFonts w:ascii="宋体" w:hAnsi="宋体" w:eastAsia="宋体" w:cs="宋体"/>
                <w:b w:val="0"/>
                <w:sz w:val="20"/>
              </w:rPr>
              <w:t xml:space="preserve">    答:尊敬的投资者，您好！公司严格按照《企业会计准则第14号--收入》及监管规定，根据各项业务的具体合同和业务实质判断收入确认方式，坚持收入确认的合规性、谨慎性和一致性。感谢您对公司的关注。</w:t>
            </w:r>
            <w:r>
              <w:rPr>
                <w:rFonts w:ascii="宋体" w:hAnsi="宋体" w:eastAsia="宋体" w:cs="宋体"/>
                <w:b w:val="0"/>
                <w:sz w:val="20"/>
              </w:rPr>
              <w:br w:type="textWrapping"/>
            </w:r>
            <w:r>
              <w:rPr>
                <w:rFonts w:ascii="宋体" w:hAnsi="宋体" w:eastAsia="宋体" w:cs="宋体"/>
                <w:b/>
                <w:sz w:val="20"/>
              </w:rPr>
              <w:t xml:space="preserve">    53.2026年营收采用总额法计算还是采用净额法计算？</w:t>
            </w:r>
            <w:r>
              <w:rPr>
                <w:rFonts w:ascii="宋体" w:hAnsi="宋体" w:eastAsia="宋体" w:cs="宋体"/>
                <w:b/>
                <w:sz w:val="20"/>
              </w:rPr>
              <w:br w:type="textWrapping"/>
            </w:r>
            <w:r>
              <w:rPr>
                <w:rFonts w:ascii="宋体" w:hAnsi="宋体" w:eastAsia="宋体" w:cs="宋体"/>
                <w:b w:val="0"/>
                <w:sz w:val="20"/>
              </w:rPr>
              <w:t xml:space="preserve">    答:尊敬的投资者，您好！公司严格按照《企业会计准则第14号--收入》及监管规定，根据各项业务的具体合同和业务实质判断收入确认方式，坚持收入确认的合规性、谨慎性和一致性。感谢您对公司的关注。</w:t>
            </w:r>
            <w:r>
              <w:rPr>
                <w:rFonts w:ascii="宋体" w:hAnsi="宋体" w:eastAsia="宋体" w:cs="宋体"/>
                <w:b w:val="0"/>
                <w:sz w:val="20"/>
              </w:rPr>
              <w:br w:type="textWrapping"/>
            </w:r>
            <w:r>
              <w:rPr>
                <w:rFonts w:ascii="宋体" w:hAnsi="宋体" w:eastAsia="宋体" w:cs="宋体"/>
                <w:b/>
                <w:sz w:val="20"/>
              </w:rPr>
              <w:t xml:space="preserve">    54.公司2026年营收有望达到3个亿吗？2026年采取什么方法计算营业收入？证监会立案处理结果什么时间公布？</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管理层正围绕年度经营目标，全力推进订单交付和验收落地，同时严格管控成本费用、提升运营效率，以全年营业收入突破3亿元为经营层面的努力方向。公司因2023年半年报相关事项被证监会立案调查，本次立案调查不涉及其他年度。公司正积极配合中国证监会的相关调查工作，立案调查的进展情况请以公司披露的公告为准。立案调查期间，公司将严格按照监管要求履行信息披露义务。敬请广大投资者注意投资风险</w:t>
            </w:r>
            <w:r>
              <w:rPr>
                <w:rFonts w:hint="eastAsia" w:ascii="宋体" w:hAnsi="宋体" w:eastAsia="宋体" w:cs="宋体"/>
                <w:b w:val="0"/>
                <w:sz w:val="20"/>
                <w:lang w:eastAsia="zh-CN"/>
              </w:rPr>
              <w:t>，</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55.智算中心项目前三季度已确认8,430万元，指的是哪个项目？</w:t>
            </w:r>
            <w:r>
              <w:rPr>
                <w:rFonts w:ascii="宋体" w:hAnsi="宋体" w:eastAsia="宋体" w:cs="宋体"/>
                <w:b/>
                <w:sz w:val="20"/>
              </w:rPr>
              <w:br w:type="textWrapping"/>
            </w:r>
            <w:r>
              <w:rPr>
                <w:rFonts w:ascii="宋体" w:hAnsi="宋体" w:eastAsia="宋体" w:cs="宋体"/>
                <w:b w:val="0"/>
                <w:sz w:val="20"/>
              </w:rPr>
              <w:t xml:space="preserve">    答:尊敬的投资者，您好！该项目指的是数产名商的智算中心项目，感谢您对公司的关注。</w:t>
            </w:r>
            <w:r>
              <w:rPr>
                <w:rFonts w:ascii="宋体" w:hAnsi="宋体" w:eastAsia="宋体" w:cs="宋体"/>
                <w:b w:val="0"/>
                <w:sz w:val="20"/>
              </w:rPr>
              <w:br w:type="textWrapping"/>
            </w:r>
            <w:r>
              <w:rPr>
                <w:rFonts w:ascii="宋体" w:hAnsi="宋体" w:eastAsia="宋体" w:cs="宋体"/>
                <w:b/>
                <w:sz w:val="20"/>
              </w:rPr>
              <w:t xml:space="preserve">    56.2026年第四季度营业收入估计是多少？</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相关数据已在定期报告中披露。管理层正围绕年度经营目标，聚焦数智政企、数智教育、智能算力、数据流动等主业方向，全力推进订单交付和验收落地，同时严格管控成本费用、提升运营效率，并依托股东资源支持改善经营基本面，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57.本次收购凯特科技，叠加前期数产名商注入，是否代表福建省国资委、省大数据集团对实达有中长期资本布局与业务整合规划，后续是否还有持续资产注入、产业链协同的安排？</w:t>
            </w:r>
            <w:r>
              <w:rPr>
                <w:rFonts w:ascii="宋体" w:hAnsi="宋体" w:eastAsia="宋体" w:cs="宋体"/>
                <w:b/>
                <w:sz w:val="20"/>
              </w:rPr>
              <w:br w:type="textWrapping"/>
            </w:r>
            <w:r>
              <w:rPr>
                <w:rFonts w:ascii="宋体" w:hAnsi="宋体" w:eastAsia="宋体" w:cs="宋体"/>
                <w:b w:val="0"/>
                <w:sz w:val="20"/>
              </w:rPr>
              <w:t xml:space="preserve">    答:尊敬的投资者，您好！公司控股股东及管理层始终高度重视全体股东利益，对相关事项保持密切关注，若有重大进展，将及时通过法定信息披露渠道公告。感谢您的关注与支持。</w:t>
            </w:r>
            <w:r>
              <w:rPr>
                <w:rFonts w:ascii="宋体" w:hAnsi="宋体" w:eastAsia="宋体" w:cs="宋体"/>
                <w:b w:val="0"/>
                <w:sz w:val="20"/>
              </w:rPr>
              <w:br w:type="textWrapping"/>
            </w:r>
            <w:r>
              <w:rPr>
                <w:rFonts w:ascii="宋体" w:hAnsi="宋体" w:eastAsia="宋体" w:cs="宋体"/>
                <w:b/>
                <w:sz w:val="20"/>
              </w:rPr>
              <w:t xml:space="preserve">    58.请问本次收购凯特科技，是否体现福建国资对实达有更远的整合规划？</w:t>
            </w:r>
            <w:r>
              <w:rPr>
                <w:rFonts w:ascii="宋体" w:hAnsi="宋体" w:eastAsia="宋体" w:cs="宋体"/>
                <w:b/>
                <w:sz w:val="20"/>
              </w:rPr>
              <w:br w:type="textWrapping"/>
            </w:r>
            <w:r>
              <w:rPr>
                <w:rFonts w:ascii="宋体" w:hAnsi="宋体" w:eastAsia="宋体" w:cs="宋体"/>
                <w:b w:val="0"/>
                <w:sz w:val="20"/>
              </w:rPr>
              <w:t xml:space="preserve">    答:尊敬的投资者，您好！目前公司已披露以现金方式收购凯特科技不低于51%股权的交易，是公司为提升自身盈利能力与资产质量，进一步发展软件与信息化主营业务所推进的举措，凯特科技的业务与公司主营业务契合，具备协同效应，本次交易如能顺利完成，预计能够有效提升上市公司主营业务收入和利润规模，有利于上市公司聚焦主责主业，提高市场竞争力，符合公司及全体股东的利益</w:t>
            </w:r>
            <w:r>
              <w:rPr>
                <w:rFonts w:hint="eastAsia" w:ascii="宋体" w:hAnsi="宋体" w:eastAsia="宋体" w:cs="宋体"/>
                <w:b w:val="0"/>
                <w:sz w:val="20"/>
                <w:lang w:eastAsia="zh-CN"/>
              </w:rPr>
              <w:t>。</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59.福建万福网科技有限公司源网荷储一体化虚拟电厂智慧生态聚合建设项目——政务云扩容（二期）项目贵公司回复已验收，请问四季度能否确认营业收入？</w:t>
            </w:r>
            <w:r>
              <w:rPr>
                <w:rFonts w:ascii="宋体" w:hAnsi="宋体" w:eastAsia="宋体" w:cs="宋体"/>
                <w:b/>
                <w:sz w:val="20"/>
              </w:rPr>
              <w:br w:type="textWrapping"/>
            </w:r>
            <w:r>
              <w:rPr>
                <w:rFonts w:ascii="宋体" w:hAnsi="宋体" w:eastAsia="宋体" w:cs="宋体"/>
                <w:b w:val="0"/>
                <w:sz w:val="20"/>
              </w:rPr>
              <w:t xml:space="preserve">    答:尊敬的投资者，您好！公司严格按照《企业会计准则第14号--收入》及监管规定，根据各项业务的具体合同和业务实质判断收入确认方式，坚持收入确认的合规性、谨慎性和一致性，以公司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60.请公司管理层正面明确回答，不要回避我所提问题，2026年营业收入采用什么方式计算？是总额法还是净额法？对证监会立案问题答复一下！</w:t>
            </w:r>
            <w:r>
              <w:rPr>
                <w:rFonts w:ascii="宋体" w:hAnsi="宋体" w:eastAsia="宋体" w:cs="宋体"/>
                <w:b/>
                <w:sz w:val="20"/>
              </w:rPr>
              <w:br w:type="textWrapping"/>
            </w:r>
            <w:r>
              <w:rPr>
                <w:rFonts w:ascii="宋体" w:hAnsi="宋体" w:eastAsia="宋体" w:cs="宋体"/>
                <w:b w:val="0"/>
                <w:sz w:val="20"/>
              </w:rPr>
              <w:t xml:space="preserve">    答:尊敬的投资者，您好！公司严格按照《企业会计准则第14号--收入》及监管规定，根据各项业务的具体合同和业务实质判断收入确认方式，坚持收入确认的合规性、谨慎性和一致性，以公司披露的定期报告为准。公司因2023年半年报相关事项被证监会立案调查，本次立案调查不涉及其他年度。公司正积极配合中国证监会的相关调查工作，立案调查的进展情况请以公司披露的公告为准。立案调查期间，公司将严格按照监管要求履行信息披露义务。感谢您对公司的关注。</w:t>
            </w:r>
            <w:r>
              <w:rPr>
                <w:rFonts w:ascii="宋体" w:hAnsi="宋体" w:eastAsia="宋体" w:cs="宋体"/>
                <w:b w:val="0"/>
                <w:sz w:val="20"/>
              </w:rPr>
              <w:br w:type="textWrapping"/>
            </w:r>
            <w:r>
              <w:rPr>
                <w:rFonts w:ascii="宋体" w:hAnsi="宋体" w:eastAsia="宋体" w:cs="宋体"/>
                <w:b/>
                <w:sz w:val="20"/>
              </w:rPr>
              <w:t xml:space="preserve">    61.前三季度的营收用的是全额法还是净额法？</w:t>
            </w:r>
            <w:r>
              <w:rPr>
                <w:rFonts w:ascii="宋体" w:hAnsi="宋体" w:eastAsia="宋体" w:cs="宋体"/>
                <w:b/>
                <w:sz w:val="20"/>
              </w:rPr>
              <w:br w:type="textWrapping"/>
            </w:r>
            <w:r>
              <w:rPr>
                <w:rFonts w:ascii="宋体" w:hAnsi="宋体" w:eastAsia="宋体" w:cs="宋体"/>
                <w:b w:val="0"/>
                <w:sz w:val="20"/>
              </w:rPr>
              <w:t xml:space="preserve">    答:尊敬的投资者，您好！公司严格按照《企业会计准则第14号--收入》及监管规定，根据各项业务的具体合同和业务实质判断收入确认方式，坚持收入确认的合规性、谨慎性和一致性，以公司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62.截止目前，公司第四季度已完成未验收的项目金额多少</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管理层正围绕年度经营目标，全力推进订单交付和验收落地，同时严格管控成本费用、提升运营效率，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63.尊敬的各位领导。实达看业绩似乎在转型，正朝着越来越好的方向发展，但是实达这次也面临巨大的考验，请问领导，今年公司以及大数据集团在保壳这块有没有实质性的计划？如果后续无法保壳第四季度是否会动用大数据集团的关联交易？</w:t>
            </w:r>
            <w:r>
              <w:rPr>
                <w:rFonts w:ascii="宋体" w:hAnsi="宋体" w:eastAsia="宋体" w:cs="宋体"/>
                <w:b/>
                <w:sz w:val="20"/>
              </w:rPr>
              <w:br w:type="textWrapping"/>
            </w:r>
            <w:r>
              <w:rPr>
                <w:rFonts w:ascii="宋体" w:hAnsi="宋体" w:eastAsia="宋体" w:cs="宋体"/>
                <w:b w:val="0"/>
                <w:sz w:val="20"/>
              </w:rPr>
              <w:t xml:space="preserve">    答:尊敬的投资者，您好！当前公司生产经营正常，管理层正通过持续聚焦主业、强化内控、降本增效及依托股东资源支持等多措并举，全力改善基本面。公司控股股东持续关注并支持公司发展，公司将继续依托控股股东的资源整合能力，聚焦数智政企、数智教育、智能算力和数据流动领域，全力改善经营基本面。</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64.能否争取在年底完成收购</w:t>
            </w:r>
            <w:r>
              <w:rPr>
                <w:rFonts w:ascii="宋体" w:hAnsi="宋体" w:eastAsia="宋体" w:cs="宋体"/>
                <w:b/>
                <w:sz w:val="20"/>
              </w:rPr>
              <w:br w:type="textWrapping"/>
            </w:r>
            <w:r>
              <w:rPr>
                <w:rFonts w:ascii="宋体" w:hAnsi="宋体" w:eastAsia="宋体" w:cs="宋体"/>
                <w:b w:val="0"/>
                <w:sz w:val="20"/>
              </w:rPr>
              <w:t xml:space="preserve">    答:尊敬的投资者，您好！目前公司正在筹划收购凯特科技不低于51%的股权，本次交易预计无法在2026年内完成，对公司2026年的财务数据无影响。</w:t>
            </w:r>
            <w:r>
              <w:rPr>
                <w:rFonts w:hint="eastAsia" w:ascii="宋体" w:hAnsi="宋体" w:eastAsia="宋体" w:cs="宋体"/>
                <w:b w:val="0"/>
                <w:sz w:val="20"/>
                <w:lang w:val="en-US" w:eastAsia="zh-CN"/>
              </w:rPr>
              <w:t>本次交易存在不确定性，敬请广大投资者注意投资风险，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65.截止到三季度报，数产名商共贡献了多少收入？</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相关情况请参阅公司披露的定期报告，</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66.福建万福网科技有限公司源网荷储一体化虚拟电厂智慧生态聚合建设项目——政务云扩容（二期）项目已计入公司前三季度营业收入了吗？</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相关信息</w:t>
            </w:r>
            <w:r>
              <w:rPr>
                <w:rFonts w:ascii="宋体" w:hAnsi="宋体" w:eastAsia="宋体" w:cs="宋体"/>
                <w:b w:val="0"/>
                <w:sz w:val="20"/>
              </w:rPr>
              <w:t>以公司披露的定期报告为准</w:t>
            </w:r>
            <w:r>
              <w:rPr>
                <w:rFonts w:hint="eastAsia" w:ascii="宋体" w:hAnsi="宋体" w:eastAsia="宋体" w:cs="宋体"/>
                <w:b w:val="0"/>
                <w:sz w:val="20"/>
                <w:lang w:eastAsia="zh-CN"/>
              </w:rPr>
              <w:t>，</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67.请介绍下2026年新中标的项目有多少？金额有多少？往年的项目，今年能验收的有多少</w:t>
            </w:r>
            <w:r>
              <w:rPr>
                <w:rFonts w:ascii="宋体" w:hAnsi="宋体" w:eastAsia="宋体" w:cs="宋体"/>
                <w:b/>
                <w:sz w:val="20"/>
              </w:rPr>
              <w:br w:type="textWrapping"/>
            </w:r>
            <w:r>
              <w:rPr>
                <w:rFonts w:ascii="宋体" w:hAnsi="宋体" w:eastAsia="宋体" w:cs="宋体"/>
                <w:b w:val="0"/>
                <w:sz w:val="20"/>
              </w:rPr>
              <w:t xml:space="preserve">    答:尊敬的投资者，您好！公司2026年前三季度已实现营业收入1.63亿元，管理层正围绕年度经营目标，全力推进订单交付和验收落地，同时严格管控成本费用、提升运营效率，以全年营业收入突破3亿元为经营层面的努力方向。</w:t>
            </w:r>
            <w:r>
              <w:rPr>
                <w:rFonts w:hint="eastAsia" w:ascii="宋体" w:hAnsi="宋体" w:eastAsia="宋体" w:cs="宋体"/>
                <w:b w:val="0"/>
                <w:sz w:val="20"/>
                <w:lang w:val="en-US" w:eastAsia="zh-CN"/>
              </w:rPr>
              <w:t>敬请广大投资者注意投资风险，</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68.请问公司对证监会的立案核查到哪一步了，估计什么时间公布结果呢？请回复一下！！！</w:t>
            </w:r>
            <w:r>
              <w:rPr>
                <w:rFonts w:ascii="宋体" w:hAnsi="宋体" w:eastAsia="宋体" w:cs="宋体"/>
                <w:b/>
                <w:sz w:val="20"/>
              </w:rPr>
              <w:br w:type="textWrapping"/>
            </w:r>
            <w:r>
              <w:rPr>
                <w:rFonts w:ascii="宋体" w:hAnsi="宋体" w:eastAsia="宋体" w:cs="宋体"/>
                <w:b w:val="0"/>
                <w:sz w:val="20"/>
              </w:rPr>
              <w:t xml:space="preserve">    答:尊敬的投资者，您好！公司因2023年半年报相关事项被证监会立案调查，本次立案调查不涉及其他年度。公司正积极配合中国证监会的相关调查工作，立案调查的进展情况请以公司披露的公告为准。立案调查期间，公司将严格按照监管要求履行信息披露义务。感谢您对公司的关注。</w:t>
            </w:r>
            <w:r>
              <w:rPr>
                <w:rFonts w:ascii="宋体" w:hAnsi="宋体" w:eastAsia="宋体" w:cs="宋体"/>
                <w:b w:val="0"/>
                <w:sz w:val="20"/>
              </w:rPr>
              <w:br w:type="textWrapping"/>
            </w:r>
            <w:r>
              <w:rPr>
                <w:rFonts w:ascii="宋体" w:hAnsi="宋体" w:eastAsia="宋体" w:cs="宋体"/>
                <w:b/>
                <w:sz w:val="20"/>
              </w:rPr>
              <w:t xml:space="preserve">    69.福建省三医联动医养健康数据流通利用基础设施建设项目硬件采购目前在什么阶段，交付验收了吗？</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相关情况请关注公司披露的定期报告</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70.福建省莆田荔兴轻工实业有限责任公司智慧信息屏及可视对讲系统采购项目目前项目状态，交付验收了吗？是否能确认收入</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相关情况请关注公司披露的定期报告</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71.请问公司目前涉诉金额是多少？对保壳有多大影响？请回复一下！！！</w:t>
            </w:r>
            <w:r>
              <w:rPr>
                <w:rFonts w:ascii="宋体" w:hAnsi="宋体" w:eastAsia="宋体" w:cs="宋体"/>
                <w:b/>
                <w:sz w:val="20"/>
              </w:rPr>
              <w:br w:type="textWrapping"/>
            </w:r>
            <w:r>
              <w:rPr>
                <w:rFonts w:ascii="宋体" w:hAnsi="宋体" w:eastAsia="宋体" w:cs="宋体"/>
                <w:b w:val="0"/>
                <w:sz w:val="20"/>
              </w:rPr>
              <w:t xml:space="preserve">    答:尊敬的投资者，您好！公司及子公司涉及的诉讼详见2026年10月22日披露的《关于公司及子公司涉及重大诉讼的公告》（公告编号：第2026-046号），感谢您对公司的关注。</w:t>
            </w:r>
            <w:r>
              <w:rPr>
                <w:rFonts w:ascii="宋体" w:hAnsi="宋体" w:eastAsia="宋体" w:cs="宋体"/>
                <w:b w:val="0"/>
                <w:sz w:val="20"/>
              </w:rPr>
              <w:br w:type="textWrapping"/>
            </w:r>
            <w:r>
              <w:rPr>
                <w:rFonts w:ascii="宋体" w:hAnsi="宋体" w:eastAsia="宋体" w:cs="宋体"/>
                <w:b/>
                <w:sz w:val="20"/>
              </w:rPr>
              <w:t xml:space="preserve">    72.福建省数字政务建设运营有限公司国家数据基础设施（福建）区域功能节点项目目前该项目状态，验收了吗？有确认收货吗</w:t>
            </w:r>
            <w:r>
              <w:rPr>
                <w:rFonts w:ascii="宋体" w:hAnsi="宋体" w:eastAsia="宋体" w:cs="宋体"/>
                <w:b/>
                <w:sz w:val="20"/>
              </w:rPr>
              <w:br w:type="textWrapping"/>
            </w:r>
            <w:r>
              <w:rPr>
                <w:rFonts w:ascii="宋体" w:hAnsi="宋体" w:eastAsia="宋体" w:cs="宋体"/>
                <w:b w:val="0"/>
                <w:sz w:val="20"/>
              </w:rPr>
              <w:t xml:space="preserve">    答:尊敬的投资者，您好！</w:t>
            </w:r>
            <w:r>
              <w:rPr>
                <w:rFonts w:hint="eastAsia" w:ascii="宋体" w:hAnsi="宋体" w:eastAsia="宋体" w:cs="宋体"/>
                <w:b w:val="0"/>
                <w:sz w:val="20"/>
                <w:lang w:val="en-US" w:eastAsia="zh-CN"/>
              </w:rPr>
              <w:t>相关情况请关注公司披露的定期报告</w:t>
            </w:r>
            <w:r>
              <w:rPr>
                <w:rFonts w:ascii="宋体" w:hAnsi="宋体" w:eastAsia="宋体" w:cs="宋体"/>
                <w:b w:val="0"/>
                <w:sz w:val="20"/>
              </w:rPr>
              <w:t>，感谢您对公司的关注。</w:t>
            </w:r>
            <w:r>
              <w:rPr>
                <w:rFonts w:ascii="宋体" w:hAnsi="宋体" w:eastAsia="宋体" w:cs="宋体"/>
                <w:b w:val="0"/>
                <w:sz w:val="20"/>
              </w:rPr>
              <w:br w:type="textWrapping"/>
            </w:r>
            <w:r>
              <w:rPr>
                <w:rFonts w:ascii="宋体" w:hAnsi="宋体" w:eastAsia="宋体" w:cs="宋体"/>
                <w:b/>
                <w:sz w:val="20"/>
              </w:rPr>
              <w:t xml:space="preserve">    73.各位领导，1.9亿未确认的订单第三季度确认了多少。现在第三季度过了，还有多少未确认营收的订单</w:t>
            </w:r>
            <w:r>
              <w:rPr>
                <w:rFonts w:ascii="宋体" w:hAnsi="宋体" w:eastAsia="宋体" w:cs="宋体"/>
                <w:b/>
                <w:sz w:val="20"/>
              </w:rPr>
              <w:br w:type="textWrapping"/>
            </w:r>
            <w:r>
              <w:rPr>
                <w:rFonts w:ascii="宋体" w:hAnsi="宋体" w:eastAsia="宋体" w:cs="宋体"/>
                <w:b w:val="0"/>
                <w:sz w:val="20"/>
              </w:rPr>
              <w:t xml:space="preserve">    答:尊敬的投资者，您好！一、根据公司2026年半年度报告披露的在手订单情况，相关项目的交付验收正按合同约定有序推进，各项目具体确认金额及进度将在定期报告中按规定反映，请以公司披露的定期报告为准。二、公司高度重视项目交付与验收管理，统筹调度项目资源，加强项目组织与人员保障，强化与业主方的沟通协调，推动项目按期交付并取得合规验收凭据。三、对于2026年半年度报告披露后新增中标及签约项目，公司将加快推动项目实施与验收落地；相关项目的具体确认情况受实施进度、验收节奏等多重因素影响，请以公司披露的定期报告为准。感谢您对公司的关注。</w:t>
            </w:r>
            <w:r>
              <w:rPr>
                <w:rFonts w:ascii="宋体" w:hAnsi="宋体" w:eastAsia="宋体" w:cs="宋体"/>
                <w:b w:val="0"/>
                <w:sz w:val="20"/>
              </w:rPr>
              <w:br w:type="textWrapping"/>
            </w:r>
            <w:r>
              <w:rPr>
                <w:rFonts w:ascii="宋体" w:hAnsi="宋体" w:eastAsia="宋体" w:cs="宋体"/>
                <w:b/>
                <w:sz w:val="20"/>
              </w:rPr>
              <w:t xml:space="preserve">    74.公司是如何应对历史遗留索赔问题的？</w:t>
            </w:r>
            <w:r>
              <w:rPr>
                <w:rFonts w:ascii="宋体" w:hAnsi="宋体" w:eastAsia="宋体" w:cs="宋体"/>
                <w:b/>
                <w:sz w:val="20"/>
              </w:rPr>
              <w:br w:type="textWrapping"/>
            </w:r>
            <w:r>
              <w:rPr>
                <w:rFonts w:ascii="宋体" w:hAnsi="宋体" w:eastAsia="宋体" w:cs="宋体"/>
                <w:b w:val="0"/>
                <w:sz w:val="20"/>
              </w:rPr>
              <w:t xml:space="preserve">    答:尊敬的投资者，您好！公司将持续密切关注该事项进展，严格遵循信息披露准则，及时、准确、完整地向市场传递最新动态。若涉及相关事项，公司将依规履行信息披露义务，感谢您对公司的关注。</w:t>
            </w:r>
          </w:p>
        </w:tc>
      </w:tr>
      <w:tr w14:paraId="0841F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90" w:hRule="atLeast"/>
          <w:jc w:val="center"/>
        </w:trPr>
        <w:tc>
          <w:tcPr>
            <w:tcW w:w="2518" w:type="dxa"/>
            <w:vAlign w:val="center"/>
          </w:tcPr>
          <w:p w14:paraId="7BC14F46">
            <w:pPr>
              <w:pStyle w:val="12"/>
              <w:spacing w:before="1"/>
              <w:ind w:left="107"/>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关于本次活动是否涉及应</w:t>
            </w:r>
          </w:p>
          <w:p w14:paraId="0F89AB5C">
            <w:pPr>
              <w:pStyle w:val="12"/>
              <w:spacing w:before="1"/>
              <w:ind w:left="107"/>
              <w:rPr>
                <w:rFonts w:ascii="宋体" w:hAnsi="宋体" w:eastAsia="宋体" w:cs="宋体"/>
                <w:b/>
                <w:bCs/>
                <w:sz w:val="20"/>
                <w:szCs w:val="20"/>
              </w:rPr>
            </w:pPr>
            <w:r>
              <w:rPr>
                <w:rFonts w:hint="eastAsia" w:cs="宋体" w:asciiTheme="minorEastAsia" w:hAnsiTheme="minorEastAsia" w:eastAsiaTheme="minorEastAsia"/>
                <w:b/>
                <w:bCs/>
                <w:sz w:val="20"/>
                <w:szCs w:val="20"/>
              </w:rPr>
              <w:t>披露重大信息的说明</w:t>
            </w:r>
          </w:p>
        </w:tc>
        <w:tc>
          <w:tcPr>
            <w:tcW w:w="6007" w:type="dxa"/>
            <w:vAlign w:val="center"/>
          </w:tcPr>
          <w:p w14:paraId="353DBD1A">
            <w:pPr>
              <w:pStyle w:val="12"/>
              <w:keepNext w:val="0"/>
              <w:keepLines w:val="0"/>
              <w:pageBreakBefore w:val="0"/>
              <w:widowControl w:val="0"/>
              <w:kinsoku/>
              <w:wordWrap/>
              <w:overflowPunct/>
              <w:topLinePunct w:val="0"/>
              <w:autoSpaceDE w:val="0"/>
              <w:autoSpaceDN w:val="0"/>
              <w:bidi w:val="0"/>
              <w:adjustRightInd/>
              <w:snapToGrid/>
              <w:spacing w:before="100" w:beforeAutospacing="1" w:line="360" w:lineRule="auto"/>
              <w:textAlignment w:val="auto"/>
              <w:rPr>
                <w:rFonts w:ascii="宋体" w:hAnsi="宋体" w:eastAsia="宋体" w:cs="宋体"/>
                <w:sz w:val="20"/>
                <w:szCs w:val="20"/>
              </w:rPr>
            </w:pPr>
            <w:r>
              <w:rPr>
                <w:rFonts w:hint="eastAsia" w:cs="宋体" w:asciiTheme="minorEastAsia" w:hAnsiTheme="minorEastAsia" w:eastAsiaTheme="minorEastAsia"/>
                <w:sz w:val="20"/>
                <w:szCs w:val="20"/>
              </w:rPr>
              <w:t>本次活动不涉及未公开披露的重大信息</w:t>
            </w:r>
          </w:p>
        </w:tc>
      </w:tr>
      <w:tr w14:paraId="6E0B7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477" w:hRule="atLeast"/>
          <w:jc w:val="center"/>
        </w:trPr>
        <w:tc>
          <w:tcPr>
            <w:tcW w:w="2518" w:type="dxa"/>
            <w:vAlign w:val="center"/>
          </w:tcPr>
          <w:p w14:paraId="0D65F3D9">
            <w:pPr>
              <w:pStyle w:val="12"/>
              <w:spacing w:before="1"/>
              <w:ind w:left="107" w:leftChars="0"/>
              <w:rPr>
                <w:rFonts w:ascii="宋体" w:hAnsi="宋体" w:eastAsia="宋体" w:cs="宋体"/>
                <w:b/>
                <w:bCs/>
                <w:sz w:val="20"/>
                <w:szCs w:val="20"/>
                <w:lang w:val="zh-CN" w:eastAsia="zh-CN" w:bidi="zh-CN"/>
              </w:rPr>
            </w:pPr>
            <w:r>
              <w:rPr>
                <w:rFonts w:hint="eastAsia" w:ascii="宋体" w:hAnsi="宋体" w:eastAsia="宋体" w:cs="宋体"/>
                <w:b/>
                <w:bCs/>
                <w:sz w:val="20"/>
                <w:szCs w:val="20"/>
              </w:rPr>
              <w:t>附件清单（如有）</w:t>
            </w:r>
          </w:p>
        </w:tc>
        <w:tc>
          <w:tcPr>
            <w:tcW w:w="6007" w:type="dxa"/>
            <w:vAlign w:val="center"/>
          </w:tcPr>
          <w:p w14:paraId="12C36F0E">
            <w:pPr>
              <w:pStyle w:val="12"/>
              <w:keepNext w:val="0"/>
              <w:keepLines w:val="0"/>
              <w:pageBreakBefore w:val="0"/>
              <w:widowControl w:val="0"/>
              <w:kinsoku/>
              <w:wordWrap/>
              <w:overflowPunct/>
              <w:topLinePunct w:val="0"/>
              <w:autoSpaceDE w:val="0"/>
              <w:autoSpaceDN w:val="0"/>
              <w:bidi w:val="0"/>
              <w:adjustRightInd/>
              <w:snapToGrid/>
              <w:spacing w:before="100" w:beforeAutospacing="1" w:line="360" w:lineRule="auto"/>
              <w:textAlignment w:val="auto"/>
              <w:rPr>
                <w:rFonts w:ascii="宋体" w:hAnsi="宋体" w:eastAsia="宋体" w:cs="宋体"/>
                <w:sz w:val="20"/>
                <w:szCs w:val="20"/>
                <w:lang w:val="zh-CN" w:eastAsia="zh-CN" w:bidi="zh-CN"/>
              </w:rPr>
            </w:pPr>
          </w:p>
        </w:tc>
      </w:tr>
      <w:tr w14:paraId="273A8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0" w:type="dxa"/>
          </w:tblCellMar>
        </w:tblPrEx>
        <w:trPr>
          <w:trHeight w:val="493" w:hRule="atLeast"/>
          <w:jc w:val="center"/>
        </w:trPr>
        <w:tc>
          <w:tcPr>
            <w:tcW w:w="2518" w:type="dxa"/>
            <w:vAlign w:val="center"/>
          </w:tcPr>
          <w:p w14:paraId="4DB48A72">
            <w:pPr>
              <w:pStyle w:val="12"/>
              <w:spacing w:before="1"/>
              <w:ind w:left="107" w:leftChars="0"/>
              <w:rPr>
                <w:rFonts w:hint="eastAsia" w:ascii="宋体" w:hAnsi="宋体" w:eastAsia="宋体" w:cs="宋体"/>
                <w:b/>
                <w:bCs/>
                <w:sz w:val="20"/>
                <w:szCs w:val="20"/>
                <w:lang w:val="zh-CN" w:eastAsia="zh-CN" w:bidi="zh-CN"/>
              </w:rPr>
            </w:pPr>
            <w:r>
              <w:rPr>
                <w:rFonts w:hint="eastAsia" w:ascii="宋体" w:hAnsi="宋体" w:eastAsia="宋体" w:cs="宋体"/>
                <w:b/>
                <w:bCs/>
                <w:sz w:val="20"/>
                <w:szCs w:val="20"/>
              </w:rPr>
              <w:t>日期</w:t>
            </w:r>
          </w:p>
        </w:tc>
        <w:tc>
          <w:tcPr>
            <w:tcW w:w="6007" w:type="dxa"/>
            <w:vAlign w:val="center"/>
          </w:tcPr>
          <w:p w14:paraId="5446685E">
            <w:pPr>
              <w:pStyle w:val="12"/>
              <w:keepNext w:val="0"/>
              <w:keepLines w:val="0"/>
              <w:pageBreakBefore w:val="0"/>
              <w:widowControl w:val="0"/>
              <w:kinsoku/>
              <w:wordWrap/>
              <w:overflowPunct/>
              <w:topLinePunct w:val="0"/>
              <w:autoSpaceDE w:val="0"/>
              <w:autoSpaceDN w:val="0"/>
              <w:bidi w:val="0"/>
              <w:adjustRightInd/>
              <w:snapToGrid/>
              <w:spacing w:before="100" w:beforeAutospacing="1"/>
              <w:textAlignment w:val="auto"/>
              <w:rPr>
                <w:rFonts w:ascii="宋体" w:hAnsi="宋体" w:eastAsia="宋体" w:cs="宋体"/>
                <w:sz w:val="20"/>
                <w:szCs w:val="20"/>
                <w:lang w:val="zh-CN" w:eastAsia="zh-CN" w:bidi="zh-CN"/>
              </w:rPr>
            </w:pPr>
            <w:r>
              <w:rPr>
                <w:rFonts w:ascii="宋体" w:hAnsi="宋体" w:eastAsia="宋体" w:cs="宋体"/>
                <w:sz w:val="20"/>
                <w:szCs w:val="20"/>
              </w:rPr>
              <w:t>2026年11月4日</w:t>
            </w:r>
          </w:p>
        </w:tc>
      </w:tr>
    </w:tbl>
    <w:p w14:paraId="6F01D49E">
      <w:pPr>
        <w:rPr>
          <w:rFonts w:ascii="宋体" w:hAnsi="宋体" w:eastAsia="宋体" w:cs="宋体"/>
          <w:sz w:val="28"/>
          <w:szCs w:val="36"/>
        </w:rPr>
      </w:pPr>
    </w:p>
    <w:sectPr>
      <w:type w:val="continuous"/>
      <w:pgSz w:w="11910" w:h="16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PMingLiU">
    <w:panose1 w:val="02020500000000000000"/>
    <w:charset w:val="88"/>
    <w:family w:val="roman"/>
    <w:pitch w:val="default"/>
    <w:sig w:usb0="A00002FF" w:usb1="28CFFCFA" w:usb2="00000016" w:usb3="00000000" w:csb0="00100001" w:csb1="00000000"/>
  </w:font>
  <w:font w:name="MS Gothic">
    <w:panose1 w:val="020B0609070205080204"/>
    <w:charset w:val="80"/>
    <w:family w:val="modern"/>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301D32"/>
    <w:rsid w:val="00026CC3"/>
    <w:rsid w:val="00036089"/>
    <w:rsid w:val="00053CFA"/>
    <w:rsid w:val="000633EC"/>
    <w:rsid w:val="00063804"/>
    <w:rsid w:val="000665A2"/>
    <w:rsid w:val="000877AB"/>
    <w:rsid w:val="000B7C08"/>
    <w:rsid w:val="000D12CF"/>
    <w:rsid w:val="000D2D88"/>
    <w:rsid w:val="000E4B20"/>
    <w:rsid w:val="0011418F"/>
    <w:rsid w:val="00172C24"/>
    <w:rsid w:val="001E59D1"/>
    <w:rsid w:val="001E5EA4"/>
    <w:rsid w:val="002042A7"/>
    <w:rsid w:val="00205911"/>
    <w:rsid w:val="002146AD"/>
    <w:rsid w:val="00275CB6"/>
    <w:rsid w:val="002800B5"/>
    <w:rsid w:val="00295B29"/>
    <w:rsid w:val="002D4073"/>
    <w:rsid w:val="002E7098"/>
    <w:rsid w:val="00301D32"/>
    <w:rsid w:val="00366FAD"/>
    <w:rsid w:val="0037105B"/>
    <w:rsid w:val="003975BA"/>
    <w:rsid w:val="003A74E6"/>
    <w:rsid w:val="003B73DD"/>
    <w:rsid w:val="003D011C"/>
    <w:rsid w:val="004108C7"/>
    <w:rsid w:val="00412DC2"/>
    <w:rsid w:val="00440041"/>
    <w:rsid w:val="00451268"/>
    <w:rsid w:val="004515AD"/>
    <w:rsid w:val="00451857"/>
    <w:rsid w:val="00453516"/>
    <w:rsid w:val="00457548"/>
    <w:rsid w:val="00470DB2"/>
    <w:rsid w:val="004925E7"/>
    <w:rsid w:val="00495B11"/>
    <w:rsid w:val="004F6FF3"/>
    <w:rsid w:val="00571B49"/>
    <w:rsid w:val="005743AE"/>
    <w:rsid w:val="005D64CA"/>
    <w:rsid w:val="005E5717"/>
    <w:rsid w:val="005E6DB2"/>
    <w:rsid w:val="0061433E"/>
    <w:rsid w:val="0062751D"/>
    <w:rsid w:val="006354AA"/>
    <w:rsid w:val="00661AFA"/>
    <w:rsid w:val="006726BF"/>
    <w:rsid w:val="00677B77"/>
    <w:rsid w:val="0068718A"/>
    <w:rsid w:val="006A2739"/>
    <w:rsid w:val="006B5C95"/>
    <w:rsid w:val="006E14B0"/>
    <w:rsid w:val="006F0108"/>
    <w:rsid w:val="00704AE6"/>
    <w:rsid w:val="007153A2"/>
    <w:rsid w:val="00724A68"/>
    <w:rsid w:val="007271BF"/>
    <w:rsid w:val="00730DD3"/>
    <w:rsid w:val="00733224"/>
    <w:rsid w:val="00764128"/>
    <w:rsid w:val="007824B8"/>
    <w:rsid w:val="007910DD"/>
    <w:rsid w:val="007A3EC1"/>
    <w:rsid w:val="007B3368"/>
    <w:rsid w:val="007D0A69"/>
    <w:rsid w:val="007D6DC4"/>
    <w:rsid w:val="00853463"/>
    <w:rsid w:val="00893F25"/>
    <w:rsid w:val="00895035"/>
    <w:rsid w:val="008B2B14"/>
    <w:rsid w:val="008C6AED"/>
    <w:rsid w:val="008C7604"/>
    <w:rsid w:val="008E1B27"/>
    <w:rsid w:val="00903379"/>
    <w:rsid w:val="00906975"/>
    <w:rsid w:val="00917F0B"/>
    <w:rsid w:val="00917F8B"/>
    <w:rsid w:val="00960964"/>
    <w:rsid w:val="00965E4D"/>
    <w:rsid w:val="009B1D5C"/>
    <w:rsid w:val="009C2E31"/>
    <w:rsid w:val="009E1955"/>
    <w:rsid w:val="00A527AA"/>
    <w:rsid w:val="00A5684D"/>
    <w:rsid w:val="00A75C61"/>
    <w:rsid w:val="00A9601B"/>
    <w:rsid w:val="00AD100E"/>
    <w:rsid w:val="00AE1E36"/>
    <w:rsid w:val="00AF74AA"/>
    <w:rsid w:val="00B03C2F"/>
    <w:rsid w:val="00B15064"/>
    <w:rsid w:val="00B340A3"/>
    <w:rsid w:val="00B410F5"/>
    <w:rsid w:val="00B6280C"/>
    <w:rsid w:val="00B671A4"/>
    <w:rsid w:val="00B72CD4"/>
    <w:rsid w:val="00B85B00"/>
    <w:rsid w:val="00BF132F"/>
    <w:rsid w:val="00C13878"/>
    <w:rsid w:val="00CA1705"/>
    <w:rsid w:val="00CE1A54"/>
    <w:rsid w:val="00CF5FB6"/>
    <w:rsid w:val="00D02518"/>
    <w:rsid w:val="00D17454"/>
    <w:rsid w:val="00D33FBC"/>
    <w:rsid w:val="00D7535C"/>
    <w:rsid w:val="00D76302"/>
    <w:rsid w:val="00DA5CE2"/>
    <w:rsid w:val="00DE10E8"/>
    <w:rsid w:val="00E16FDA"/>
    <w:rsid w:val="00E35F58"/>
    <w:rsid w:val="00E45BD9"/>
    <w:rsid w:val="00E66FFC"/>
    <w:rsid w:val="00E759D6"/>
    <w:rsid w:val="00E84A8C"/>
    <w:rsid w:val="00E976DE"/>
    <w:rsid w:val="00EC0F83"/>
    <w:rsid w:val="00EE3187"/>
    <w:rsid w:val="00EF499B"/>
    <w:rsid w:val="00F14977"/>
    <w:rsid w:val="00FB4A08"/>
    <w:rsid w:val="00FC0C2A"/>
    <w:rsid w:val="00FD7F8E"/>
    <w:rsid w:val="00FF11E4"/>
    <w:rsid w:val="017E03E7"/>
    <w:rsid w:val="04713686"/>
    <w:rsid w:val="04B072D4"/>
    <w:rsid w:val="05F575D4"/>
    <w:rsid w:val="064249C6"/>
    <w:rsid w:val="07C70774"/>
    <w:rsid w:val="08641132"/>
    <w:rsid w:val="09186774"/>
    <w:rsid w:val="093D3223"/>
    <w:rsid w:val="0945438F"/>
    <w:rsid w:val="0A71587A"/>
    <w:rsid w:val="0B792C38"/>
    <w:rsid w:val="0C28640C"/>
    <w:rsid w:val="0DFD78B7"/>
    <w:rsid w:val="0E90599A"/>
    <w:rsid w:val="0E9E737D"/>
    <w:rsid w:val="0ED720CD"/>
    <w:rsid w:val="118C11EC"/>
    <w:rsid w:val="12070CAE"/>
    <w:rsid w:val="123C49C0"/>
    <w:rsid w:val="145F688C"/>
    <w:rsid w:val="14D47131"/>
    <w:rsid w:val="15680001"/>
    <w:rsid w:val="15DD2205"/>
    <w:rsid w:val="17072842"/>
    <w:rsid w:val="17A67110"/>
    <w:rsid w:val="1864189B"/>
    <w:rsid w:val="18D73A7D"/>
    <w:rsid w:val="19557370"/>
    <w:rsid w:val="1BD06B6A"/>
    <w:rsid w:val="1BF105C9"/>
    <w:rsid w:val="1C654B13"/>
    <w:rsid w:val="1C95589A"/>
    <w:rsid w:val="1DBE272D"/>
    <w:rsid w:val="1F782BDE"/>
    <w:rsid w:val="1F877DA2"/>
    <w:rsid w:val="204A6A53"/>
    <w:rsid w:val="20947775"/>
    <w:rsid w:val="224E6C6A"/>
    <w:rsid w:val="23317869"/>
    <w:rsid w:val="23F520EE"/>
    <w:rsid w:val="25650CAE"/>
    <w:rsid w:val="26406598"/>
    <w:rsid w:val="28080056"/>
    <w:rsid w:val="28734C1A"/>
    <w:rsid w:val="28C72DDD"/>
    <w:rsid w:val="29274395"/>
    <w:rsid w:val="29EE0E64"/>
    <w:rsid w:val="2A950CB9"/>
    <w:rsid w:val="2BC4020A"/>
    <w:rsid w:val="2EF90F16"/>
    <w:rsid w:val="2F125C63"/>
    <w:rsid w:val="302C3D0A"/>
    <w:rsid w:val="3104598F"/>
    <w:rsid w:val="32954548"/>
    <w:rsid w:val="32F83D6F"/>
    <w:rsid w:val="33DE31BB"/>
    <w:rsid w:val="35816ABF"/>
    <w:rsid w:val="36C26992"/>
    <w:rsid w:val="389C49C0"/>
    <w:rsid w:val="39BC78F4"/>
    <w:rsid w:val="3B35486F"/>
    <w:rsid w:val="3C4816E7"/>
    <w:rsid w:val="3D344362"/>
    <w:rsid w:val="3EF1250A"/>
    <w:rsid w:val="3EF971B3"/>
    <w:rsid w:val="404C551E"/>
    <w:rsid w:val="40567DB0"/>
    <w:rsid w:val="40624D42"/>
    <w:rsid w:val="40FF5CD2"/>
    <w:rsid w:val="42DB40B0"/>
    <w:rsid w:val="430F5864"/>
    <w:rsid w:val="4368266F"/>
    <w:rsid w:val="43B71B0A"/>
    <w:rsid w:val="44FA0589"/>
    <w:rsid w:val="45A663E3"/>
    <w:rsid w:val="469F09AF"/>
    <w:rsid w:val="484A29A4"/>
    <w:rsid w:val="4A372D9B"/>
    <w:rsid w:val="4B5A6404"/>
    <w:rsid w:val="4B756271"/>
    <w:rsid w:val="4BA32DDE"/>
    <w:rsid w:val="4C8E1CA8"/>
    <w:rsid w:val="4D6D36A4"/>
    <w:rsid w:val="4ECE5CE3"/>
    <w:rsid w:val="510903EF"/>
    <w:rsid w:val="53F137F4"/>
    <w:rsid w:val="543A6906"/>
    <w:rsid w:val="54A86D6F"/>
    <w:rsid w:val="56850CBB"/>
    <w:rsid w:val="56D331EE"/>
    <w:rsid w:val="59D8738A"/>
    <w:rsid w:val="5A666D76"/>
    <w:rsid w:val="5B2253C2"/>
    <w:rsid w:val="5CF02E0F"/>
    <w:rsid w:val="603269D2"/>
    <w:rsid w:val="61A52BCA"/>
    <w:rsid w:val="61F45CEA"/>
    <w:rsid w:val="64B81251"/>
    <w:rsid w:val="67095496"/>
    <w:rsid w:val="67ED7463"/>
    <w:rsid w:val="681A546A"/>
    <w:rsid w:val="68507D37"/>
    <w:rsid w:val="69CB37D4"/>
    <w:rsid w:val="6A0D5B9B"/>
    <w:rsid w:val="6A3B23B1"/>
    <w:rsid w:val="6A9D3F84"/>
    <w:rsid w:val="6AEA32DC"/>
    <w:rsid w:val="6BEA6129"/>
    <w:rsid w:val="6C1256EA"/>
    <w:rsid w:val="6CC24AB5"/>
    <w:rsid w:val="6CDB1F80"/>
    <w:rsid w:val="6D9271B2"/>
    <w:rsid w:val="6F134790"/>
    <w:rsid w:val="6F4E5935"/>
    <w:rsid w:val="6FE81F5F"/>
    <w:rsid w:val="70DC5B4E"/>
    <w:rsid w:val="72446028"/>
    <w:rsid w:val="73076EC0"/>
    <w:rsid w:val="73397A01"/>
    <w:rsid w:val="74210CA6"/>
    <w:rsid w:val="746F4E76"/>
    <w:rsid w:val="76430096"/>
    <w:rsid w:val="77100A78"/>
    <w:rsid w:val="788C25F5"/>
    <w:rsid w:val="79F72AA9"/>
    <w:rsid w:val="7A144529"/>
    <w:rsid w:val="7A770E0E"/>
    <w:rsid w:val="7A9F4B33"/>
    <w:rsid w:val="7BB3231A"/>
    <w:rsid w:val="7CCC20DB"/>
    <w:rsid w:val="7D641B1E"/>
    <w:rsid w:val="7DD37FAE"/>
    <w:rsid w:val="7FCE57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zh-CN" w:eastAsia="zh-CN" w:bidi="zh-CN"/>
    </w:rPr>
  </w:style>
  <w:style w:type="paragraph" w:styleId="2">
    <w:name w:val="heading 1"/>
    <w:basedOn w:val="1"/>
    <w:next w:val="1"/>
    <w:qFormat/>
    <w:uiPriority w:val="1"/>
    <w:pPr>
      <w:outlineLvl w:val="0"/>
    </w:pPr>
    <w:rPr>
      <w:rFonts w:ascii="PMingLiU" w:hAnsi="PMingLiU" w:eastAsia="PMingLiU" w:cs="PMingLiU"/>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5"/>
    <w:qFormat/>
    <w:uiPriority w:val="0"/>
  </w:style>
  <w:style w:type="paragraph" w:styleId="4">
    <w:name w:val="Body Text"/>
    <w:basedOn w:val="1"/>
    <w:qFormat/>
    <w:uiPriority w:val="1"/>
    <w:pPr>
      <w:ind w:left="220"/>
    </w:pPr>
    <w:rPr>
      <w:sz w:val="32"/>
      <w:szCs w:val="32"/>
    </w:rPr>
  </w:style>
  <w:style w:type="paragraph" w:styleId="5">
    <w:name w:val="Balloon Text"/>
    <w:basedOn w:val="1"/>
    <w:link w:val="17"/>
    <w:qFormat/>
    <w:uiPriority w:val="0"/>
    <w:rPr>
      <w:sz w:val="18"/>
      <w:szCs w:val="18"/>
    </w:rPr>
  </w:style>
  <w:style w:type="paragraph" w:styleId="6">
    <w:name w:val="footer"/>
    <w:basedOn w:val="1"/>
    <w:link w:val="14"/>
    <w:qFormat/>
    <w:uiPriority w:val="0"/>
    <w:pPr>
      <w:tabs>
        <w:tab w:val="center" w:pos="4153"/>
        <w:tab w:val="right" w:pos="8306"/>
      </w:tabs>
      <w:snapToGrid w:val="0"/>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6"/>
    <w:qFormat/>
    <w:uiPriority w:val="0"/>
    <w:rPr>
      <w:b/>
      <w:bCs/>
    </w:rPr>
  </w:style>
  <w:style w:type="character" w:styleId="11">
    <w:name w:val="annotation reference"/>
    <w:basedOn w:val="10"/>
    <w:qFormat/>
    <w:uiPriority w:val="0"/>
    <w:rPr>
      <w:sz w:val="21"/>
      <w:szCs w:val="21"/>
    </w:rPr>
  </w:style>
  <w:style w:type="paragraph" w:customStyle="1" w:styleId="12">
    <w:name w:val="Table Paragraph"/>
    <w:basedOn w:val="1"/>
    <w:qFormat/>
    <w:uiPriority w:val="1"/>
  </w:style>
  <w:style w:type="character" w:customStyle="1" w:styleId="13">
    <w:name w:val="页眉 字符"/>
    <w:basedOn w:val="10"/>
    <w:link w:val="7"/>
    <w:qFormat/>
    <w:uiPriority w:val="0"/>
    <w:rPr>
      <w:rFonts w:ascii="仿宋" w:hAnsi="仿宋" w:eastAsia="仿宋" w:cs="仿宋"/>
      <w:sz w:val="18"/>
      <w:szCs w:val="18"/>
      <w:lang w:val="zh-CN" w:bidi="zh-CN"/>
    </w:rPr>
  </w:style>
  <w:style w:type="character" w:customStyle="1" w:styleId="14">
    <w:name w:val="页脚 字符"/>
    <w:basedOn w:val="10"/>
    <w:link w:val="6"/>
    <w:qFormat/>
    <w:uiPriority w:val="0"/>
    <w:rPr>
      <w:rFonts w:ascii="仿宋" w:hAnsi="仿宋" w:eastAsia="仿宋" w:cs="仿宋"/>
      <w:sz w:val="18"/>
      <w:szCs w:val="18"/>
      <w:lang w:val="zh-CN" w:bidi="zh-CN"/>
    </w:rPr>
  </w:style>
  <w:style w:type="character" w:customStyle="1" w:styleId="15">
    <w:name w:val="批注文字 字符"/>
    <w:basedOn w:val="10"/>
    <w:link w:val="3"/>
    <w:qFormat/>
    <w:uiPriority w:val="0"/>
    <w:rPr>
      <w:rFonts w:ascii="仿宋" w:hAnsi="仿宋" w:eastAsia="仿宋" w:cs="仿宋"/>
      <w:sz w:val="22"/>
      <w:szCs w:val="22"/>
      <w:lang w:val="zh-CN" w:bidi="zh-CN"/>
    </w:rPr>
  </w:style>
  <w:style w:type="character" w:customStyle="1" w:styleId="16">
    <w:name w:val="批注主题 字符"/>
    <w:basedOn w:val="15"/>
    <w:link w:val="8"/>
    <w:qFormat/>
    <w:uiPriority w:val="0"/>
    <w:rPr>
      <w:rFonts w:ascii="仿宋" w:hAnsi="仿宋" w:eastAsia="仿宋" w:cs="仿宋"/>
      <w:b/>
      <w:bCs/>
      <w:sz w:val="22"/>
      <w:szCs w:val="22"/>
      <w:lang w:val="zh-CN" w:bidi="zh-CN"/>
    </w:rPr>
  </w:style>
  <w:style w:type="character" w:customStyle="1" w:styleId="17">
    <w:name w:val="批注框文本 字符"/>
    <w:basedOn w:val="10"/>
    <w:link w:val="5"/>
    <w:qFormat/>
    <w:uiPriority w:val="0"/>
    <w:rPr>
      <w:rFonts w:ascii="仿宋" w:hAnsi="仿宋" w:eastAsia="仿宋" w:cs="仿宋"/>
      <w:sz w:val="18"/>
      <w:szCs w:val="18"/>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16454-D52C-4974-A468-5D02FFFCA6D4}">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14783</Words>
  <Characters>15452</Characters>
  <Lines>2</Lines>
  <Paragraphs>1</Paragraphs>
  <TotalTime>76</TotalTime>
  <ScaleCrop>false</ScaleCrop>
  <LinksUpToDate>false</LinksUpToDate>
  <CharactersWithSpaces>16095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2022-04-12T06:10:00Z</dcterms:created>
  <dc:creator>jie.huang</dc:creator>
  <cp:lastModifiedBy>ysk</cp:lastModifiedBy>
  <dcterms:modified xsi:type="dcterms:W3CDTF">2026-11-05T09:30:58Z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57D148DF2F764966BF4E1C38A6255FA2</vt:lpwstr>
  </property>
  <property fmtid="{D5CDD505-2E9C-101B-9397-08002B2CF9AE}" pid="4" name="KSOTemplateDocerSaveRecord">
    <vt:lpwstr>eyJoZGlkIjoiYmUzMzhiNzJlMWQ2NDU5NzBmZjk3YmYzYmIwMWZiNTgiLCJ1c2VySWQiOiIxMDUzNjIzNTUxIn0=</vt:lpwstr>
  </property>
</Properties>
</file>