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BD2B" w14:textId="77777777" w:rsidR="00F13444" w:rsidRDefault="00000000">
      <w:pPr>
        <w:spacing w:beforeLines="50" w:before="156" w:afterLines="50" w:after="156" w:line="400" w:lineRule="exact"/>
        <w:jc w:val="center"/>
        <w:rPr>
          <w:rFonts w:ascii="宋体" w:hAnsi="宋体" w:hint="eastAsia"/>
          <w:bCs/>
          <w:iCs/>
          <w:color w:val="000000"/>
          <w:sz w:val="24"/>
        </w:rPr>
      </w:pPr>
      <w:r>
        <w:rPr>
          <w:rFonts w:ascii="宋体" w:hAnsi="宋体" w:hint="eastAsia"/>
          <w:bCs/>
          <w:iCs/>
          <w:color w:val="000000"/>
          <w:sz w:val="24"/>
        </w:rPr>
        <w:t>证券代码：</w:t>
      </w:r>
      <w:proofErr w:type="gramStart"/>
      <w:r>
        <w:rPr>
          <w:rFonts w:ascii="宋体" w:hAnsi="宋体" w:hint="eastAsia"/>
          <w:bCs/>
          <w:iCs/>
          <w:color w:val="000000"/>
          <w:sz w:val="24"/>
        </w:rPr>
        <w:t>688028                                     证券</w:t>
      </w:r>
      <w:proofErr w:type="gramEnd"/>
      <w:r>
        <w:rPr>
          <w:rFonts w:ascii="宋体" w:hAnsi="宋体" w:hint="eastAsia"/>
          <w:bCs/>
          <w:iCs/>
          <w:color w:val="000000"/>
          <w:sz w:val="24"/>
        </w:rPr>
        <w:t>简称：沃尔德</w:t>
      </w:r>
    </w:p>
    <w:p w14:paraId="7463E7B8" w14:textId="77777777" w:rsidR="00F13444" w:rsidRDefault="00000000">
      <w:pPr>
        <w:spacing w:before="100" w:beforeAutospacing="1" w:line="360" w:lineRule="auto"/>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tbl>
      <w:tblPr>
        <w:tblW w:w="100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69"/>
        <w:gridCol w:w="8281"/>
      </w:tblGrid>
      <w:tr w:rsidR="00F13444" w14:paraId="0FBD3FE6" w14:textId="77777777" w:rsidTr="006A7428">
        <w:trPr>
          <w:trHeight w:val="1338"/>
          <w:jc w:val="center"/>
        </w:trPr>
        <w:tc>
          <w:tcPr>
            <w:tcW w:w="1769" w:type="dxa"/>
            <w:vAlign w:val="center"/>
          </w:tcPr>
          <w:p w14:paraId="37BD7A86" w14:textId="77777777" w:rsidR="00F13444"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Cs/>
                <w:iCs/>
                <w:color w:val="000000"/>
                <w:sz w:val="24"/>
              </w:rPr>
              <w:t xml:space="preserve">                                                      </w:t>
            </w:r>
            <w:r>
              <w:rPr>
                <w:rFonts w:asciiTheme="minorEastAsia" w:eastAsiaTheme="minorEastAsia" w:hAnsiTheme="minorEastAsia" w:cstheme="minorEastAsia" w:hint="eastAsia"/>
                <w:b/>
                <w:bCs/>
                <w:iCs/>
                <w:color w:val="000000"/>
                <w:sz w:val="24"/>
              </w:rPr>
              <w:t>投资者关系活动类别</w:t>
            </w:r>
          </w:p>
        </w:tc>
        <w:tc>
          <w:tcPr>
            <w:tcW w:w="8281" w:type="dxa"/>
          </w:tcPr>
          <w:p w14:paraId="7B124A1B" w14:textId="77777777" w:rsidR="00F13444"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特定对象</w:t>
            </w:r>
            <w:proofErr w:type="gramStart"/>
            <w:r>
              <w:rPr>
                <w:rFonts w:asciiTheme="minorEastAsia" w:eastAsiaTheme="minorEastAsia" w:hAnsiTheme="minorEastAsia" w:cstheme="minorEastAsia" w:hint="eastAsia"/>
                <w:sz w:val="24"/>
              </w:rPr>
              <w:t xml:space="preserve">调研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分析师</w:t>
            </w:r>
            <w:proofErr w:type="gramStart"/>
            <w:r>
              <w:rPr>
                <w:rFonts w:asciiTheme="minorEastAsia" w:eastAsiaTheme="minorEastAsia" w:hAnsiTheme="minorEastAsia" w:cstheme="minorEastAsia" w:hint="eastAsia"/>
                <w:sz w:val="24"/>
              </w:rPr>
              <w:t xml:space="preserve">会议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媒体采访</w:t>
            </w:r>
          </w:p>
          <w:p w14:paraId="07B1EF70" w14:textId="77777777" w:rsidR="00F13444"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业绩说明</w:t>
            </w:r>
            <w:proofErr w:type="gramStart"/>
            <w:r>
              <w:rPr>
                <w:rFonts w:asciiTheme="minorEastAsia" w:eastAsiaTheme="minorEastAsia" w:hAnsiTheme="minorEastAsia" w:cstheme="minorEastAsia" w:hint="eastAsia"/>
                <w:sz w:val="24"/>
              </w:rPr>
              <w:t xml:space="preserve">会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新闻</w:t>
            </w:r>
            <w:proofErr w:type="gramStart"/>
            <w:r>
              <w:rPr>
                <w:rFonts w:asciiTheme="minorEastAsia" w:eastAsiaTheme="minorEastAsia" w:hAnsiTheme="minorEastAsia" w:cstheme="minorEastAsia" w:hint="eastAsia"/>
                <w:sz w:val="24"/>
              </w:rPr>
              <w:t xml:space="preserve">发布会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路演活动</w:t>
            </w:r>
          </w:p>
          <w:p w14:paraId="503B5874" w14:textId="77777777" w:rsidR="00F13444" w:rsidRDefault="00000000">
            <w:pPr>
              <w:tabs>
                <w:tab w:val="left" w:pos="3045"/>
                <w:tab w:val="center" w:pos="3199"/>
              </w:tabs>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现场</w:t>
            </w:r>
            <w:proofErr w:type="gramStart"/>
            <w:r>
              <w:rPr>
                <w:rFonts w:asciiTheme="minorEastAsia" w:eastAsiaTheme="minorEastAsia" w:hAnsiTheme="minorEastAsia" w:cstheme="minorEastAsia" w:hint="eastAsia"/>
                <w:sz w:val="24"/>
              </w:rPr>
              <w:t xml:space="preserve">参观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其他（券商组织的策略会）</w:t>
            </w:r>
          </w:p>
        </w:tc>
      </w:tr>
      <w:tr w:rsidR="00F13444" w14:paraId="14EABDD4" w14:textId="77777777" w:rsidTr="006A7428">
        <w:trPr>
          <w:trHeight w:val="797"/>
          <w:jc w:val="center"/>
        </w:trPr>
        <w:tc>
          <w:tcPr>
            <w:tcW w:w="1769" w:type="dxa"/>
            <w:vAlign w:val="center"/>
          </w:tcPr>
          <w:p w14:paraId="6A49014A" w14:textId="77777777" w:rsidR="00F13444"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参与单位名称</w:t>
            </w:r>
          </w:p>
        </w:tc>
        <w:tc>
          <w:tcPr>
            <w:tcW w:w="8281" w:type="dxa"/>
            <w:vAlign w:val="center"/>
          </w:tcPr>
          <w:p w14:paraId="6A419A13" w14:textId="333E67EB"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szCs w:val="21"/>
              </w:rPr>
              <w:t>浙商证券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浙江誉文</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泉果基金</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国海证券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新泉投资</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磐厚动量</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天风证券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睿华资产</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南土资产</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华西证券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开源证券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岭南资本</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信泰人寿</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长城证券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国联民生证券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华泰证券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hint="eastAsia"/>
                <w:szCs w:val="21"/>
              </w:rPr>
              <w:t>西部证券</w:t>
            </w:r>
          </w:p>
          <w:p w14:paraId="46A56B17" w14:textId="0ED83EAB"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szCs w:val="21"/>
              </w:rPr>
              <w:t>华源证券</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汐泰投资</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华源证券自营</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华富基金</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爱建资管</w:t>
            </w:r>
            <w:r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建信安盈</w:t>
            </w:r>
            <w:r w:rsidR="006A7428"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富国基金</w:t>
            </w:r>
            <w:r w:rsidRPr="006A7428">
              <w:rPr>
                <w:rFonts w:asciiTheme="minorEastAsia" w:eastAsiaTheme="minorEastAsia" w:hAnsiTheme="minorEastAsia" w:cstheme="minorEastAsia" w:hint="eastAsia"/>
                <w:szCs w:val="21"/>
              </w:rPr>
              <w:t>；</w:t>
            </w:r>
            <w:r w:rsidRPr="006A7428">
              <w:rPr>
                <w:rFonts w:asciiTheme="minorEastAsia" w:eastAsiaTheme="minorEastAsia" w:hAnsiTheme="minorEastAsia" w:cstheme="minorEastAsia"/>
                <w:szCs w:val="21"/>
              </w:rPr>
              <w:t>华宝基金</w:t>
            </w:r>
          </w:p>
          <w:p w14:paraId="4673C6D5" w14:textId="18E8EDAE"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szCs w:val="21"/>
              </w:rPr>
              <w:t>华夏基金</w:t>
            </w:r>
          </w:p>
          <w:p w14:paraId="737D3627" w14:textId="598FE61C" w:rsidR="00F13444" w:rsidRPr="006A7428" w:rsidRDefault="006A7428"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szCs w:val="21"/>
              </w:rPr>
              <w:t>财通证券</w:t>
            </w:r>
            <w:r w:rsidRPr="006A7428">
              <w:rPr>
                <w:rFonts w:asciiTheme="minorEastAsia" w:eastAsiaTheme="minorEastAsia" w:hAnsiTheme="minorEastAsia" w:cstheme="minorEastAsia" w:hint="eastAsia"/>
                <w:szCs w:val="21"/>
              </w:rPr>
              <w:t>；</w:t>
            </w:r>
            <w:r w:rsidR="00000000" w:rsidRPr="006A7428">
              <w:rPr>
                <w:rFonts w:asciiTheme="minorEastAsia" w:eastAsiaTheme="minorEastAsia" w:hAnsiTheme="minorEastAsia" w:cstheme="minorEastAsia"/>
                <w:szCs w:val="21"/>
              </w:rPr>
              <w:t>交银基金</w:t>
            </w:r>
          </w:p>
          <w:p w14:paraId="1DF12DFB" w14:textId="0CD4C4D5"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szCs w:val="21"/>
              </w:rPr>
              <w:t>万家基金</w:t>
            </w:r>
          </w:p>
          <w:p w14:paraId="25E62FEE" w14:textId="222CA8E2"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szCs w:val="21"/>
              </w:rPr>
              <w:t>国盛机械；</w:t>
            </w:r>
            <w:r w:rsidRPr="006A7428">
              <w:rPr>
                <w:rFonts w:hint="eastAsia"/>
                <w:szCs w:val="21"/>
              </w:rPr>
              <w:t>汇泉基金；七石投资；中加基金；国寿安保基金；中航基金；润晖投资；磐泽资产；国联基金</w:t>
            </w:r>
          </w:p>
          <w:p w14:paraId="245F2F79" w14:textId="2657AB1D"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hint="eastAsia"/>
                <w:szCs w:val="21"/>
              </w:rPr>
              <w:t>人保养老</w:t>
            </w:r>
          </w:p>
          <w:p w14:paraId="0AFCF77E" w14:textId="0C4C362E"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hint="eastAsia"/>
                <w:szCs w:val="21"/>
              </w:rPr>
              <w:t>工银瑞信基金</w:t>
            </w:r>
          </w:p>
          <w:p w14:paraId="6E47967C" w14:textId="62C7307E" w:rsidR="00F13444" w:rsidRPr="006A7428" w:rsidRDefault="00000000" w:rsidP="006A7428">
            <w:pPr>
              <w:widowControl/>
              <w:spacing w:after="0" w:line="240" w:lineRule="auto"/>
              <w:ind w:firstLineChars="200" w:firstLine="420"/>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szCs w:val="21"/>
              </w:rPr>
              <w:t>华夏基金</w:t>
            </w:r>
          </w:p>
          <w:p w14:paraId="10D9F723" w14:textId="77777777" w:rsidR="00F13444" w:rsidRPr="006A7428" w:rsidRDefault="00000000">
            <w:pPr>
              <w:widowControl/>
              <w:ind w:firstLineChars="200" w:firstLine="422"/>
              <w:rPr>
                <w:rFonts w:asciiTheme="minorEastAsia" w:eastAsiaTheme="minorEastAsia" w:hAnsiTheme="minorEastAsia" w:cstheme="minorEastAsia" w:hint="eastAsia"/>
                <w:szCs w:val="21"/>
              </w:rPr>
            </w:pPr>
            <w:r w:rsidRPr="006A7428">
              <w:rPr>
                <w:rFonts w:asciiTheme="minorEastAsia" w:eastAsiaTheme="minorEastAsia" w:hAnsiTheme="minorEastAsia" w:cstheme="minorEastAsia" w:hint="eastAsia"/>
                <w:b/>
                <w:bCs/>
                <w:szCs w:val="21"/>
              </w:rPr>
              <w:t>部分会议参会者无法签署调研承诺函，但在交流活动中，我公司严格遵守相关规定，保证信息披露真实、准确、及时、公平，没有发生未公开重大信息泄露等情况。</w:t>
            </w:r>
          </w:p>
        </w:tc>
      </w:tr>
      <w:tr w:rsidR="00F13444" w14:paraId="25EC4431" w14:textId="77777777" w:rsidTr="006A7428">
        <w:trPr>
          <w:trHeight w:val="598"/>
          <w:jc w:val="center"/>
        </w:trPr>
        <w:tc>
          <w:tcPr>
            <w:tcW w:w="1769" w:type="dxa"/>
            <w:vAlign w:val="center"/>
          </w:tcPr>
          <w:p w14:paraId="0C8125C4" w14:textId="77777777" w:rsidR="00F13444"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时间及地点</w:t>
            </w:r>
          </w:p>
        </w:tc>
        <w:tc>
          <w:tcPr>
            <w:tcW w:w="8281" w:type="dxa"/>
            <w:vAlign w:val="center"/>
          </w:tcPr>
          <w:p w14:paraId="35B78217" w14:textId="77777777" w:rsidR="006A7428" w:rsidRDefault="00000000" w:rsidP="006A7428">
            <w:pPr>
              <w:spacing w:after="0" w:line="360" w:lineRule="auto"/>
              <w:rPr>
                <w:rFonts w:asciiTheme="minorEastAsia" w:eastAsiaTheme="minorEastAsia" w:hAnsiTheme="minorEastAsia" w:cstheme="minorEastAsia"/>
                <w:bCs/>
                <w:iCs/>
                <w:color w:val="000000"/>
                <w:sz w:val="24"/>
              </w:rPr>
            </w:pPr>
            <w:r>
              <w:rPr>
                <w:rFonts w:asciiTheme="minorEastAsia" w:eastAsiaTheme="minorEastAsia" w:hAnsiTheme="minorEastAsia" w:cstheme="minorEastAsia" w:hint="eastAsia"/>
                <w:bCs/>
                <w:iCs/>
                <w:color w:val="000000"/>
                <w:sz w:val="24"/>
              </w:rPr>
              <w:t>11月3日</w:t>
            </w:r>
          </w:p>
          <w:p w14:paraId="4AC04255" w14:textId="6393BC9B" w:rsidR="00F13444" w:rsidRDefault="00000000" w:rsidP="006A7428">
            <w:pPr>
              <w:spacing w:after="0"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10:00-11:20（嘉兴沃尔德）；11:00-12:00（上海）；12:30-13:30（上海）；14:30-15:20（上海）；15:30-16:20（腾讯会议）</w:t>
            </w:r>
          </w:p>
          <w:p w14:paraId="01BE792F" w14:textId="77777777" w:rsidR="006A7428" w:rsidRDefault="00000000" w:rsidP="006A7428">
            <w:pPr>
              <w:spacing w:after="0" w:line="360" w:lineRule="auto"/>
              <w:rPr>
                <w:rFonts w:asciiTheme="minorEastAsia" w:eastAsiaTheme="minorEastAsia" w:hAnsiTheme="minorEastAsia" w:cstheme="minorEastAsia"/>
                <w:bCs/>
                <w:iCs/>
                <w:color w:val="000000"/>
                <w:sz w:val="24"/>
              </w:rPr>
            </w:pPr>
            <w:r>
              <w:rPr>
                <w:rFonts w:asciiTheme="minorEastAsia" w:eastAsiaTheme="minorEastAsia" w:hAnsiTheme="minorEastAsia" w:cstheme="minorEastAsia" w:hint="eastAsia"/>
                <w:bCs/>
                <w:iCs/>
                <w:color w:val="000000"/>
                <w:sz w:val="24"/>
              </w:rPr>
              <w:t>11月5日</w:t>
            </w:r>
          </w:p>
          <w:p w14:paraId="3A0584A7" w14:textId="5C0688E4" w:rsidR="00F13444" w:rsidRDefault="00000000" w:rsidP="006A7428">
            <w:pPr>
              <w:spacing w:after="0"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13:30-14:30（北京）；14:30-15:40（北京）；15:50-16:50（北京）</w:t>
            </w:r>
            <w:r w:rsidR="006A7428">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bCs/>
                <w:iCs/>
                <w:color w:val="000000"/>
                <w:sz w:val="24"/>
              </w:rPr>
              <w:t xml:space="preserve">17:00-18:00（北京） </w:t>
            </w:r>
          </w:p>
        </w:tc>
      </w:tr>
      <w:tr w:rsidR="00F13444" w14:paraId="1D82CB2A" w14:textId="77777777" w:rsidTr="006A7428">
        <w:trPr>
          <w:trHeight w:val="798"/>
          <w:jc w:val="center"/>
        </w:trPr>
        <w:tc>
          <w:tcPr>
            <w:tcW w:w="1769" w:type="dxa"/>
            <w:vAlign w:val="center"/>
          </w:tcPr>
          <w:p w14:paraId="7400E03F" w14:textId="77777777" w:rsidR="00F13444" w:rsidRDefault="00000000">
            <w:pPr>
              <w:snapToGrid w:val="0"/>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上市公司接待人员姓名</w:t>
            </w:r>
          </w:p>
        </w:tc>
        <w:tc>
          <w:tcPr>
            <w:tcW w:w="8281" w:type="dxa"/>
            <w:vAlign w:val="center"/>
          </w:tcPr>
          <w:p w14:paraId="14C32583" w14:textId="77777777" w:rsidR="00F13444" w:rsidRDefault="00000000" w:rsidP="006A7428">
            <w:pPr>
              <w:spacing w:after="0"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副总经理、董事会秘书：陈焕超</w:t>
            </w:r>
          </w:p>
          <w:p w14:paraId="6841C9F4" w14:textId="77777777" w:rsidR="00F13444" w:rsidRDefault="00000000" w:rsidP="006A7428">
            <w:pPr>
              <w:spacing w:after="0"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证券事务代表/IR：沈李思</w:t>
            </w:r>
          </w:p>
        </w:tc>
      </w:tr>
      <w:tr w:rsidR="00F13444" w14:paraId="703F602D" w14:textId="77777777" w:rsidTr="006A7428">
        <w:trPr>
          <w:trHeight w:val="552"/>
          <w:jc w:val="center"/>
        </w:trPr>
        <w:tc>
          <w:tcPr>
            <w:tcW w:w="1769" w:type="dxa"/>
            <w:vAlign w:val="center"/>
          </w:tcPr>
          <w:p w14:paraId="3DB8C30E" w14:textId="77777777" w:rsidR="00F13444" w:rsidRDefault="00000000">
            <w:pPr>
              <w:spacing w:line="360" w:lineRule="auto"/>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 w:val="24"/>
              </w:rPr>
              <w:t>投资者关系活动主要内容介</w:t>
            </w:r>
            <w:r>
              <w:rPr>
                <w:rFonts w:asciiTheme="minorEastAsia" w:eastAsiaTheme="minorEastAsia" w:hAnsiTheme="minorEastAsia" w:cstheme="minorEastAsia" w:hint="eastAsia"/>
                <w:b/>
                <w:bCs/>
                <w:sz w:val="24"/>
              </w:rPr>
              <w:lastRenderedPageBreak/>
              <w:t>绍</w:t>
            </w:r>
          </w:p>
        </w:tc>
        <w:tc>
          <w:tcPr>
            <w:tcW w:w="8281" w:type="dxa"/>
            <w:vAlign w:val="center"/>
          </w:tcPr>
          <w:p w14:paraId="146D58A0" w14:textId="77777777" w:rsidR="00F13444" w:rsidRDefault="00000000" w:rsidP="006A7428">
            <w:pPr>
              <w:spacing w:after="0" w:line="360" w:lineRule="auto"/>
              <w:ind w:firstLineChars="200" w:firstLine="482"/>
              <w:rPr>
                <w:rFonts w:ascii="宋体" w:hAnsi="宋体" w:hint="eastAsia"/>
                <w:b/>
                <w:bCs/>
                <w:sz w:val="24"/>
              </w:rPr>
            </w:pPr>
            <w:bookmarkStart w:id="0" w:name="OLE_LINK2"/>
            <w:r>
              <w:rPr>
                <w:rFonts w:ascii="宋体" w:hAnsi="宋体" w:hint="eastAsia"/>
                <w:b/>
                <w:bCs/>
                <w:sz w:val="24"/>
              </w:rPr>
              <w:lastRenderedPageBreak/>
              <w:t>风险提示：</w:t>
            </w:r>
          </w:p>
          <w:p w14:paraId="5429BF5A"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本次交流涉及的行业预测、公司发展战略和经营计划、新产品研发及产业</w:t>
            </w:r>
            <w:r>
              <w:rPr>
                <w:rFonts w:ascii="宋体" w:hAnsi="宋体" w:hint="eastAsia"/>
                <w:b/>
                <w:bCs/>
                <w:sz w:val="24"/>
              </w:rPr>
              <w:lastRenderedPageBreak/>
              <w:t>化安排、客户验证及订单预期等内容均为前瞻性陈述，不构成公司或公司管理层对投资者的业绩承诺或投资建议。相关事项受宏观环境、行业周期、技术迭代、市场需求、客户认证及竞争格局等多重因素影响，存在不确定性，敬请广大投资者理性决策，重点关注以下风险：</w:t>
            </w:r>
          </w:p>
          <w:p w14:paraId="609EC393"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1、新产品、新项目研发及产业化风险：新产品、新项目从技术研发到产业化过程中，可能遇到研发进度缓慢、技术及产品发展趋势判断失误、技术成果转化不力以及工艺稳定性、产品良率、成本控制不达预期等不确定性；同时需要持续进行研发、工艺和设备投入，后续市场开拓及下游需求亦存在不确定性，可能无法如期为公司带来预期收益，对公司发展产生不利影响。特此郑重提醒广大投资者防范公司相关新业务的投资风险。</w:t>
            </w:r>
          </w:p>
          <w:p w14:paraId="45C1BD1D" w14:textId="2D0163E9"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2、金刚石微钻（钻针）业务客户验证及市场拓展风险：公司金刚石微钻（钻针）在PCB孔加工领域，</w:t>
            </w:r>
            <w:r w:rsidRPr="006A7428">
              <w:rPr>
                <w:rFonts w:ascii="宋体" w:hAnsi="宋体" w:hint="eastAsia"/>
                <w:b/>
                <w:bCs/>
                <w:sz w:val="24"/>
              </w:rPr>
              <w:t>虽然在部分客户已完成供应商资质导入，已取得首次小批量订单，但仍处于市场拓展和客户验证阶段，</w:t>
            </w:r>
            <w:r>
              <w:rPr>
                <w:rFonts w:ascii="宋体" w:hAnsi="宋体" w:hint="eastAsia"/>
                <w:b/>
                <w:bCs/>
                <w:sz w:val="24"/>
              </w:rPr>
              <w:t>客户认证周期、验证结果、批量供货稳定性、产品良率、成本控制及价格竞争力等均存在不确定性。</w:t>
            </w:r>
            <w:r w:rsidRPr="006A7428">
              <w:rPr>
                <w:rFonts w:ascii="宋体" w:hAnsi="宋体" w:hint="eastAsia"/>
                <w:b/>
                <w:bCs/>
                <w:sz w:val="24"/>
              </w:rPr>
              <w:t>前期取得的各项进展</w:t>
            </w:r>
            <w:r>
              <w:rPr>
                <w:rFonts w:ascii="宋体" w:hAnsi="宋体" w:hint="eastAsia"/>
                <w:b/>
                <w:bCs/>
                <w:sz w:val="24"/>
              </w:rPr>
              <w:t>，不代表未来必然获得批量订单或形成持续、规模化收入；如客户验证、市场导入或产业化进度不及预期，可能对公司相关业务发展和经营业绩产生不利影响。</w:t>
            </w:r>
          </w:p>
          <w:p w14:paraId="3480CBCA"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3、金刚石功能部件业务特别是散热领域产业化风险：公司已将金刚石散热作为中长期重点研发方向，虽然有部分产品完成产品验证并开始商业化落地，但总体该业务仍处于研发、验证或市场培育阶段，距离大规模化收入尚有较大差距。若技术研发、产品迭代、客户验证、市场导入或订单转化不及预期，可能影响该业务的产业化进程和公司中长期经营业绩，敬请广大投资者客观认识该业务的产业化进程，注意投资风险。</w:t>
            </w:r>
          </w:p>
          <w:p w14:paraId="4C16DE72"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4、技术路线迭代、市场竞争及投入风险：公司现有业务及产品，若出现其他材料或技术方案实现突破、下游客户技术路线调整、行业标准及认证要求变化、市场竞争加剧或产品价格下降等情形，可能对公司技术优势、客户导入、市场份额和盈利水平产生影响。同时，公司根据业务发展需要推进相关产能建设和投入，若后续订单获取、客户验证或产能爬坡不及预期，可能导致新增产能未能充分利用，并带来固定资产折旧、人员及运营成本上升等风险。</w:t>
            </w:r>
          </w:p>
          <w:p w14:paraId="2460A1FE"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lastRenderedPageBreak/>
              <w:t>5、二级市场股价波动风险：目前公司金刚石微钻（钻针）、金刚石散热衬底等产品的市场关注度较高，相关业务尚处于验证或产业化推进阶段。二级市场股价受宏观经济、行业政策、市场情绪、资金流向等多重因素影响，可能出现较大波动，并存在股价与公司现阶段经营业绩、业务发展进度及盈利能力不完全匹配的风险。敬请广大投资者理性看待市场热点，审慎作出投资决策，注意投资风险。</w:t>
            </w:r>
          </w:p>
          <w:bookmarkEnd w:id="0"/>
          <w:p w14:paraId="3D1040D8"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Q:公司前三季度利润增速明显快于收入，主要原因是什么？</w:t>
            </w:r>
          </w:p>
          <w:p w14:paraId="6380B330"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公司前三季度营业收入同比增长23.52%，归母净利润同比增长52.82%，扣非净利润同比增长62.48%。</w:t>
            </w:r>
          </w:p>
          <w:p w14:paraId="655C9131"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1、营业收入增长，摊薄了部分固定成本，规模效应逐步显现；</w:t>
            </w:r>
          </w:p>
          <w:p w14:paraId="6C21242A"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2、部分新产品增速较快，但占总体收入比重还较低，同时公司部分新产品的附加值较高；</w:t>
            </w:r>
          </w:p>
          <w:p w14:paraId="1F798208" w14:textId="77777777" w:rsidR="00F13444" w:rsidRDefault="00000000" w:rsidP="006A7428">
            <w:pPr>
              <w:spacing w:after="0" w:line="360" w:lineRule="auto"/>
              <w:ind w:firstLineChars="200" w:firstLine="480"/>
              <w:rPr>
                <w:rFonts w:ascii="宋体" w:hAnsi="宋体" w:hint="eastAsia"/>
                <w:b/>
                <w:bCs/>
                <w:sz w:val="24"/>
              </w:rPr>
            </w:pPr>
            <w:r>
              <w:rPr>
                <w:rFonts w:ascii="宋体" w:hAnsi="宋体" w:hint="eastAsia"/>
                <w:sz w:val="24"/>
              </w:rPr>
              <w:t>3、发展战略调整见成效，精密工具围绕高端制造客户需求持续做强，压缩、调整或停止一些非核心产品；金刚石功能部件业务围绕声、热、电、光等场景的产品体系逐步完善，并逐步开始贡献收入和利润。</w:t>
            </w:r>
          </w:p>
          <w:p w14:paraId="128D3C7F" w14:textId="2962B5F1"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Q：金刚石微钻（钻针）在PCB加工领域订单落地情况？</w:t>
            </w:r>
          </w:p>
          <w:p w14:paraId="1D5FDA6B"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公司金刚石微钻（钻针）已与多家PCB厂商持续开展产品优化和验证。截至目前，部分客户已完成供应商资质导入，部分客户已下达首次小批量订单，公司正按客户要求推进产品交付和验证；另有部分客户仍处于产品验证或商务谈判阶段。上述订单整体规模较小，PCB钻针业务尚未形成规模化供货，对公司当期经营业绩贡献有限。该业务目前仍处于市场导入和客户验证阶段，后续客户验证结果、订单规模、交付节奏及批量供货稳定性均存在不确定性。公司将根据客户验证和订单进展推进产能及交付安排，如相关事项达到信息披露标准，将依法履行信息披露义务。敬请投资者理性判断，注意投资风险。</w:t>
            </w:r>
          </w:p>
          <w:p w14:paraId="41F9CFF5" w14:textId="77777777" w:rsidR="00F13444" w:rsidRDefault="00000000" w:rsidP="006A7428">
            <w:pPr>
              <w:spacing w:after="0"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Q:公司金刚石功能部件业务在散热方面的研发及应用进展情况？</w:t>
            </w:r>
          </w:p>
          <w:p w14:paraId="27ABCF89"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根据公司的发展战略和经营计划，将金刚石散热确立为中长期的战略级重大研发方向，争取与部分下游领先企业达成业务合作，推进金刚石散热从实验室研发走向工程化验证，从技术合作走向订单落地，为公司长远发展积蓄势能、抢占先机。</w:t>
            </w:r>
          </w:p>
          <w:p w14:paraId="054572F8"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lastRenderedPageBreak/>
              <w:t>公司围绕硅/碳化硅/硅基PCD基金刚石衬底、多晶/单晶金刚石衬底、金刚石铜/铝等复合材料等进行产品研发，专注GPU、CPU、高功率器件、射频器件、激光器等领域的应用研究及产业化工作。</w:t>
            </w:r>
          </w:p>
          <w:p w14:paraId="54585069" w14:textId="4AEA9F4A"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（1）硅/碳化硅/硅基PCD基金刚石衬底</w:t>
            </w:r>
          </w:p>
          <w:p w14:paraId="5B11AE73"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面向半导体晶圆应用的复合衬底解决方案，通过CVD技术在硅、碳化硅或硅基PCD晶圆表面沉积金刚石层，兼具硅、碳化硅或硅基PCD的半导体兼容性与金刚石材料的高热导性。</w:t>
            </w:r>
          </w:p>
          <w:p w14:paraId="412A2398" w14:textId="25EDB153"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依靠自主研发的大腔室热丝CVD设备，成功研发出高平整度的硅、碳化硅或硅基PCD基金刚石衬底，最大尺寸320mm*320mm，兼容直径50mm-300mm的主流晶圆尺寸；金刚石膜厚可调，总厚度偏差（TTV）小于20μm。目前与中国台湾多家晶圆代工及先进封测企业直接或间接开展深度技术对接与产品送样验证等工作，同时国内芯片设计公司等也开始进行4-12英寸金刚石散热晶圆验证工作。</w:t>
            </w:r>
          </w:p>
          <w:p w14:paraId="4E53A961"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sz w:val="24"/>
                <w:shd w:val="clear" w:color="auto" w:fill="FFFFFF"/>
              </w:rPr>
              <w:t>公司依靠自主研发及合作开发的MPCVD设备，已能成功制备直径100mm以内的硅基、碳化硅基和硅基PCD基的复合CVD金刚石衬底，并在精密加工后向部分客户交付验证，已经取得较好的验证结果。</w:t>
            </w:r>
          </w:p>
          <w:p w14:paraId="7A95C06E"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（2）多晶/单晶金刚石衬底</w:t>
            </w:r>
          </w:p>
          <w:p w14:paraId="5E044621"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通过微波、热丝、直流等CVD技术制备单晶/多晶金刚石热沉片，凭借高热导率与电绝缘特性，可高效降低器件热点温度并导出热量。</w:t>
            </w:r>
          </w:p>
          <w:p w14:paraId="650337BA"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公司开发出适用于直接键合的超平整金刚石衬底，多晶最大直径300mm，单晶最大尺寸60*60mm；总厚度偏差（TTV）小于2μm；粗糙度（Ra）：多晶小于1nm、单晶小于0.5nm。</w:t>
            </w:r>
          </w:p>
          <w:p w14:paraId="01372630" w14:textId="77777777" w:rsidR="00F13444" w:rsidRPr="006A7428"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目前公司主要围绕芯片近结散热方向，向手机芯片、GPU、CPU等海内外知名客户提供产品并进行验证；</w:t>
            </w:r>
            <w:r w:rsidRPr="006A7428">
              <w:rPr>
                <w:rFonts w:asciiTheme="minorEastAsia" w:eastAsiaTheme="minorEastAsia" w:hAnsiTheme="minorEastAsia" w:cstheme="minorEastAsia" w:hint="eastAsia"/>
                <w:sz w:val="24"/>
                <w:shd w:val="clear" w:color="auto" w:fill="FFFFFF"/>
              </w:rPr>
              <w:t>其中部分客户完成产品验证，如公司中标曙光数创的金刚石单晶方案，为供应商之一，截至目前，尚未签署相关具体订单或合同。请广大投资者理性看待市场热点，审慎作出投资决策，注意投资风险。</w:t>
            </w:r>
          </w:p>
          <w:p w14:paraId="4086E364"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（3）金刚石铜/铝复合材料</w:t>
            </w:r>
          </w:p>
          <w:p w14:paraId="11CE3711"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金刚石与铜、铝复合而成高性能热管理材料，兼具金刚石高热导率与金属易连接或轻量化特征，为高功率、轻量化场景提供高性价比的散热解决方案，</w:t>
            </w:r>
            <w:r>
              <w:rPr>
                <w:rFonts w:asciiTheme="minorEastAsia" w:eastAsiaTheme="minorEastAsia" w:hAnsiTheme="minorEastAsia" w:cstheme="minorEastAsia" w:hint="eastAsia"/>
                <w:sz w:val="24"/>
                <w:shd w:val="clear" w:color="auto" w:fill="FFFFFF"/>
              </w:rPr>
              <w:lastRenderedPageBreak/>
              <w:t>具备以下特点：</w:t>
            </w:r>
          </w:p>
          <w:p w14:paraId="2F234272" w14:textId="77777777" w:rsidR="00F13444" w:rsidRDefault="00000000" w:rsidP="006A7428">
            <w:pPr>
              <w:spacing w:after="0"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轻量化优势：密度低；热膨胀系数：匹配半导体器件、减少热应力导致失效风险；良好加工性：适配复杂结构设计；高性价比：经济适配更大批量场景。</w:t>
            </w:r>
          </w:p>
          <w:p w14:paraId="59302BCC" w14:textId="77777777" w:rsidR="00F13444" w:rsidRDefault="00000000" w:rsidP="006A7428">
            <w:pPr>
              <w:spacing w:after="0" w:line="360" w:lineRule="auto"/>
              <w:ind w:firstLineChars="200" w:firstLine="480"/>
              <w:rPr>
                <w:rFonts w:ascii="宋体" w:hAnsi="宋体" w:hint="eastAsia"/>
                <w:sz w:val="24"/>
              </w:rPr>
            </w:pPr>
            <w:r>
              <w:rPr>
                <w:rFonts w:asciiTheme="minorEastAsia" w:eastAsiaTheme="minorEastAsia" w:hAnsiTheme="minorEastAsia" w:cstheme="minorEastAsia" w:hint="eastAsia"/>
                <w:sz w:val="24"/>
                <w:shd w:val="clear" w:color="auto" w:fill="FFFFFF"/>
              </w:rPr>
              <w:t>目前公司主要围绕冷板散热，公司已开发出金刚石铜产品交付给下游冷板客户进行验证。</w:t>
            </w:r>
          </w:p>
          <w:p w14:paraId="266CC9A7"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Q：金刚石微钻（钻针）及散热产品的扩产进展、达产节奏和资本开支如何？</w:t>
            </w:r>
          </w:p>
          <w:p w14:paraId="77363B7B"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金刚石微钻产业化项目（一期）建设期为3年，达产后规划形成年产420万支金刚石微钻（钻针）的生产能力；金刚石功能部件产业化项目达产后规划形成年产65万片金刚石散热衬底的生产能力。现阶段，公司将根据客户验证、订单进度和产能爬坡情况，动态安排产能建设、分阶段达产节奏及资本开支。请各位投资者注意投资风险。</w:t>
            </w:r>
          </w:p>
          <w:p w14:paraId="095924C2" w14:textId="77777777" w:rsidR="00F13444" w:rsidRDefault="00000000" w:rsidP="006A7428">
            <w:pPr>
              <w:spacing w:after="0" w:line="360" w:lineRule="auto"/>
              <w:ind w:firstLineChars="200" w:firstLine="482"/>
              <w:rPr>
                <w:rFonts w:ascii="宋体" w:hAnsi="宋体" w:hint="eastAsia"/>
                <w:b/>
                <w:bCs/>
                <w:sz w:val="24"/>
              </w:rPr>
            </w:pPr>
            <w:r>
              <w:rPr>
                <w:rFonts w:ascii="宋体" w:hAnsi="宋体" w:hint="eastAsia"/>
                <w:b/>
                <w:bCs/>
                <w:sz w:val="24"/>
              </w:rPr>
              <w:t>Q：2026年度向特定对象发行进展如何？预计何时完成？</w:t>
            </w:r>
          </w:p>
          <w:p w14:paraId="32B78373" w14:textId="77777777" w:rsidR="00F13444" w:rsidRDefault="00000000" w:rsidP="006A7428">
            <w:pPr>
              <w:spacing w:after="0" w:line="360" w:lineRule="auto"/>
              <w:ind w:firstLineChars="200" w:firstLine="480"/>
              <w:rPr>
                <w:rFonts w:ascii="宋体" w:hAnsi="宋体" w:hint="eastAsia"/>
                <w:sz w:val="24"/>
              </w:rPr>
            </w:pPr>
            <w:r>
              <w:rPr>
                <w:rFonts w:ascii="宋体" w:hAnsi="宋体" w:hint="eastAsia"/>
                <w:sz w:val="24"/>
              </w:rPr>
              <w:t>公司2026年度向特定对象发行A股股票事项尚需上海证券交易所审核及中国证监会注册等程序，完成时间存在不确定性，公司无法提供具体完成时点，</w:t>
            </w:r>
            <w:r>
              <w:rPr>
                <w:rFonts w:ascii="宋体" w:hAnsi="宋体"/>
                <w:sz w:val="24"/>
              </w:rPr>
              <w:t>请各位投资者注意投资风险</w:t>
            </w:r>
            <w:r>
              <w:rPr>
                <w:rFonts w:ascii="宋体" w:hAnsi="宋体" w:hint="eastAsia"/>
                <w:sz w:val="24"/>
              </w:rPr>
              <w:t>。</w:t>
            </w:r>
          </w:p>
        </w:tc>
      </w:tr>
      <w:tr w:rsidR="00F13444" w14:paraId="2019380A" w14:textId="77777777" w:rsidTr="006A7428">
        <w:trPr>
          <w:trHeight w:val="240"/>
          <w:jc w:val="center"/>
        </w:trPr>
        <w:tc>
          <w:tcPr>
            <w:tcW w:w="1769" w:type="dxa"/>
            <w:vAlign w:val="center"/>
          </w:tcPr>
          <w:p w14:paraId="4A598D04" w14:textId="77777777" w:rsidR="00F13444"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lastRenderedPageBreak/>
              <w:t>附件清单</w:t>
            </w:r>
          </w:p>
        </w:tc>
        <w:tc>
          <w:tcPr>
            <w:tcW w:w="8281" w:type="dxa"/>
            <w:vAlign w:val="center"/>
          </w:tcPr>
          <w:p w14:paraId="6883B73B" w14:textId="77777777" w:rsidR="00F13444" w:rsidRDefault="00000000" w:rsidP="006A7428">
            <w:pPr>
              <w:spacing w:after="0"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无</w:t>
            </w:r>
          </w:p>
        </w:tc>
      </w:tr>
      <w:tr w:rsidR="00F13444" w14:paraId="6CC0F8CD" w14:textId="77777777" w:rsidTr="006A7428">
        <w:trPr>
          <w:trHeight w:val="332"/>
          <w:jc w:val="center"/>
        </w:trPr>
        <w:tc>
          <w:tcPr>
            <w:tcW w:w="1769" w:type="dxa"/>
            <w:vAlign w:val="center"/>
          </w:tcPr>
          <w:p w14:paraId="028796CD" w14:textId="77777777" w:rsidR="00F13444"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日期</w:t>
            </w:r>
          </w:p>
        </w:tc>
        <w:tc>
          <w:tcPr>
            <w:tcW w:w="8281" w:type="dxa"/>
            <w:vAlign w:val="center"/>
          </w:tcPr>
          <w:p w14:paraId="26B0EEAC" w14:textId="2AB89605" w:rsidR="00F13444"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2026年11月5日</w:t>
            </w:r>
          </w:p>
        </w:tc>
      </w:tr>
    </w:tbl>
    <w:p w14:paraId="4215C9C8" w14:textId="77777777" w:rsidR="00F13444" w:rsidRDefault="00F13444"/>
    <w:sectPr w:rsidR="00F1344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IDFont+F10">
    <w:altName w:val="宋体"/>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444"/>
    <w:rsid w:val="001145A9"/>
    <w:rsid w:val="006A7428"/>
    <w:rsid w:val="00F13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001A1"/>
  <w15:docId w15:val="{7DB267BB-954D-47B1-8DC8-A7D64390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lsdException w:name="Body Text" w:uiPriority="1" w:qFormat="1"/>
    <w:lsdException w:name="Subtitle" w:qFormat="1"/>
    <w:lsdException w:name="Hyperlink"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Body Text"/>
    <w:basedOn w:val="a"/>
    <w:uiPriority w:val="1"/>
    <w:qFormat/>
    <w:pPr>
      <w:ind w:firstLine="200"/>
    </w:pPr>
  </w:style>
  <w:style w:type="paragraph" w:styleId="a8">
    <w:name w:val="Plain Text"/>
    <w:basedOn w:val="a"/>
    <w:link w:val="a9"/>
    <w:unhideWhenUsed/>
    <w:qFormat/>
    <w:rPr>
      <w:rFonts w:ascii="等线" w:eastAsia="等线" w:hAnsi="Courier New" w:cs="Courier New"/>
      <w:szCs w:val="22"/>
    </w:rPr>
  </w:style>
  <w:style w:type="paragraph" w:styleId="aa">
    <w:name w:val="footer"/>
    <w:basedOn w:val="a"/>
    <w:link w:val="ab"/>
    <w:qFormat/>
    <w:pPr>
      <w:tabs>
        <w:tab w:val="center" w:pos="4153"/>
        <w:tab w:val="right" w:pos="8306"/>
      </w:tabs>
      <w:snapToGrid w:val="0"/>
      <w:jc w:val="left"/>
    </w:pPr>
    <w:rPr>
      <w:sz w:val="18"/>
      <w:szCs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e">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f">
    <w:name w:val="Strong"/>
    <w:uiPriority w:val="22"/>
    <w:qFormat/>
    <w:rPr>
      <w:b/>
      <w:bCs/>
    </w:rPr>
  </w:style>
  <w:style w:type="character" w:styleId="af0">
    <w:name w:val="Hyperlink"/>
    <w:qFormat/>
    <w:rPr>
      <w:color w:val="0563C1"/>
      <w:u w:val="single"/>
    </w:rPr>
  </w:style>
  <w:style w:type="character" w:styleId="af1">
    <w:name w:val="annotation reference"/>
    <w:qFormat/>
    <w:rPr>
      <w:sz w:val="21"/>
      <w:szCs w:val="21"/>
    </w:rPr>
  </w:style>
  <w:style w:type="table" w:styleId="af2">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批注文字 字符"/>
    <w:link w:val="a4"/>
    <w:qFormat/>
    <w:rPr>
      <w:rFonts w:ascii="Calibri" w:hAnsi="Calibri"/>
      <w:kern w:val="2"/>
      <w:sz w:val="21"/>
      <w:szCs w:val="24"/>
    </w:rPr>
  </w:style>
  <w:style w:type="character" w:customStyle="1" w:styleId="a9">
    <w:name w:val="纯文本 字符"/>
    <w:link w:val="a8"/>
    <w:qFormat/>
    <w:rPr>
      <w:rFonts w:ascii="等线" w:eastAsia="等线" w:hAnsi="Courier New" w:cs="Courier New"/>
      <w:kern w:val="2"/>
      <w:sz w:val="21"/>
      <w:szCs w:val="22"/>
    </w:rPr>
  </w:style>
  <w:style w:type="character" w:customStyle="1" w:styleId="ab">
    <w:name w:val="页脚 字符"/>
    <w:link w:val="aa"/>
    <w:qFormat/>
    <w:rPr>
      <w:rFonts w:ascii="Calibri" w:hAnsi="Calibri"/>
      <w:kern w:val="2"/>
      <w:sz w:val="18"/>
      <w:szCs w:val="18"/>
    </w:rPr>
  </w:style>
  <w:style w:type="character" w:customStyle="1" w:styleId="ad">
    <w:name w:val="页眉 字符"/>
    <w:link w:val="ac"/>
    <w:qFormat/>
    <w:rPr>
      <w:rFonts w:ascii="Calibri" w:hAnsi="Calibri"/>
      <w:kern w:val="2"/>
      <w:sz w:val="18"/>
      <w:szCs w:val="18"/>
    </w:rPr>
  </w:style>
  <w:style w:type="character" w:customStyle="1" w:styleId="HTML0">
    <w:name w:val="HTML 预设格式 字符"/>
    <w:link w:val="HTML"/>
    <w:uiPriority w:val="99"/>
    <w:qFormat/>
    <w:rPr>
      <w:rFonts w:ascii="宋体" w:hAnsi="宋体" w:cs="宋体"/>
      <w:sz w:val="24"/>
      <w:szCs w:val="24"/>
    </w:rPr>
  </w:style>
  <w:style w:type="character" w:customStyle="1" w:styleId="a5">
    <w:name w:val="批注主题 字符"/>
    <w:link w:val="a3"/>
    <w:qFormat/>
    <w:rPr>
      <w:rFonts w:ascii="Calibri" w:hAnsi="Calibri"/>
      <w:b/>
      <w:bCs/>
      <w:kern w:val="2"/>
      <w:sz w:val="21"/>
      <w:szCs w:val="24"/>
    </w:rPr>
  </w:style>
  <w:style w:type="paragraph" w:customStyle="1" w:styleId="1">
    <w:name w:val="修订1"/>
    <w:uiPriority w:val="99"/>
    <w:unhideWhenUsed/>
    <w:qFormat/>
    <w:rPr>
      <w:rFonts w:ascii="Calibri" w:hAnsi="Calibri"/>
      <w:kern w:val="2"/>
      <w:sz w:val="21"/>
      <w:szCs w:val="24"/>
    </w:rPr>
  </w:style>
  <w:style w:type="paragraph" w:customStyle="1" w:styleId="10">
    <w:name w:val="列表段落1"/>
    <w:basedOn w:val="a"/>
    <w:uiPriority w:val="99"/>
    <w:qFormat/>
    <w:pPr>
      <w:ind w:firstLineChars="200" w:firstLine="420"/>
    </w:pPr>
    <w:rPr>
      <w:rFonts w:ascii="等线" w:eastAsia="等线" w:hAnsi="等线"/>
      <w:szCs w:val="22"/>
    </w:rPr>
  </w:style>
  <w:style w:type="character" w:customStyle="1" w:styleId="fontstyle01">
    <w:name w:val="fontstyle01"/>
    <w:qFormat/>
    <w:rPr>
      <w:rFonts w:ascii="CIDFont+F10" w:hAnsi="CIDFont+F10" w:hint="default"/>
      <w:color w:val="000000"/>
      <w:sz w:val="32"/>
      <w:szCs w:val="32"/>
    </w:rPr>
  </w:style>
  <w:style w:type="character" w:customStyle="1" w:styleId="11">
    <w:name w:val="未处理的提及1"/>
    <w:uiPriority w:val="99"/>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4"/>
    </w:rPr>
  </w:style>
  <w:style w:type="paragraph" w:customStyle="1" w:styleId="3">
    <w:name w:val="修订3"/>
    <w:hidden/>
    <w:uiPriority w:val="99"/>
    <w:unhideWhenUsed/>
    <w:qFormat/>
    <w:rPr>
      <w:rFonts w:ascii="Calibri" w:hAnsi="Calibri"/>
      <w:kern w:val="2"/>
      <w:sz w:val="21"/>
      <w:szCs w:val="24"/>
    </w:rPr>
  </w:style>
  <w:style w:type="paragraph" w:customStyle="1" w:styleId="4">
    <w:name w:val="修订4"/>
    <w:hidden/>
    <w:uiPriority w:val="99"/>
    <w:unhideWhenUsed/>
    <w:qFormat/>
    <w:rPr>
      <w:rFonts w:ascii="Calibri" w:hAnsi="Calibri"/>
      <w:kern w:val="2"/>
      <w:sz w:val="21"/>
      <w:szCs w:val="24"/>
    </w:rPr>
  </w:style>
  <w:style w:type="paragraph" w:customStyle="1" w:styleId="5">
    <w:name w:val="修订5"/>
    <w:hidden/>
    <w:uiPriority w:val="99"/>
    <w:unhideWhenUsed/>
    <w:qFormat/>
    <w:rPr>
      <w:rFonts w:ascii="Calibri" w:hAnsi="Calibri"/>
      <w:kern w:val="2"/>
      <w:sz w:val="21"/>
      <w:szCs w:val="24"/>
    </w:rPr>
  </w:style>
  <w:style w:type="paragraph" w:customStyle="1" w:styleId="6">
    <w:name w:val="修订6"/>
    <w:hidden/>
    <w:uiPriority w:val="99"/>
    <w:unhideWhenUsed/>
    <w:qFormat/>
    <w:rPr>
      <w:rFonts w:ascii="Calibri" w:hAnsi="Calibri"/>
      <w:kern w:val="2"/>
      <w:sz w:val="21"/>
      <w:szCs w:val="24"/>
    </w:rPr>
  </w:style>
  <w:style w:type="paragraph" w:customStyle="1" w:styleId="7">
    <w:name w:val="修订7"/>
    <w:hidden/>
    <w:uiPriority w:val="99"/>
    <w:unhideWhenUsed/>
    <w:qFormat/>
    <w:rPr>
      <w:rFonts w:ascii="Calibri" w:hAnsi="Calibri"/>
      <w:kern w:val="2"/>
      <w:sz w:val="21"/>
      <w:szCs w:val="24"/>
    </w:rPr>
  </w:style>
  <w:style w:type="paragraph" w:customStyle="1" w:styleId="8">
    <w:name w:val="修订8"/>
    <w:hidden/>
    <w:uiPriority w:val="99"/>
    <w:unhideWhenUsed/>
    <w:qFormat/>
    <w:rPr>
      <w:rFonts w:ascii="Calibri" w:hAnsi="Calibri"/>
      <w:kern w:val="2"/>
      <w:sz w:val="21"/>
      <w:szCs w:val="24"/>
    </w:rPr>
  </w:style>
  <w:style w:type="paragraph" w:customStyle="1" w:styleId="contenthtml">
    <w:name w:val="content_html"/>
    <w:basedOn w:val="a"/>
    <w:qFormat/>
    <w:pPr>
      <w:widowControl/>
      <w:spacing w:before="100" w:beforeAutospacing="1" w:after="100" w:afterAutospacing="1"/>
      <w:jc w:val="left"/>
    </w:pPr>
    <w:rPr>
      <w:rFonts w:ascii="宋体" w:hAnsi="宋体" w:cs="宋体"/>
      <w:kern w:val="0"/>
      <w:sz w:val="24"/>
    </w:rPr>
  </w:style>
  <w:style w:type="paragraph" w:customStyle="1" w:styleId="9">
    <w:name w:val="修订9"/>
    <w:hidden/>
    <w:uiPriority w:val="99"/>
    <w:unhideWhenUsed/>
    <w:qFormat/>
    <w:rPr>
      <w:rFonts w:ascii="Calibri" w:hAnsi="Calibri"/>
      <w:kern w:val="2"/>
      <w:sz w:val="21"/>
      <w:szCs w:val="24"/>
    </w:rPr>
  </w:style>
  <w:style w:type="paragraph" w:customStyle="1" w:styleId="100">
    <w:name w:val="修订10"/>
    <w:hidden/>
    <w:uiPriority w:val="99"/>
    <w:unhideWhenUsed/>
    <w:qFormat/>
    <w:rPr>
      <w:rFonts w:ascii="Calibri" w:hAnsi="Calibri"/>
      <w:kern w:val="2"/>
      <w:sz w:val="21"/>
      <w:szCs w:val="24"/>
    </w:rPr>
  </w:style>
  <w:style w:type="paragraph" w:customStyle="1" w:styleId="110">
    <w:name w:val="修订11"/>
    <w:hidden/>
    <w:uiPriority w:val="99"/>
    <w:unhideWhenUsed/>
    <w:qFormat/>
    <w:rPr>
      <w:rFonts w:ascii="Calibri" w:hAnsi="Calibri"/>
      <w:kern w:val="2"/>
      <w:sz w:val="21"/>
      <w:szCs w:val="24"/>
    </w:rPr>
  </w:style>
  <w:style w:type="paragraph" w:customStyle="1" w:styleId="12">
    <w:name w:val="修订12"/>
    <w:hidden/>
    <w:uiPriority w:val="99"/>
    <w:unhideWhenUsed/>
    <w:rPr>
      <w:rFonts w:ascii="Calibri" w:hAnsi="Calibri"/>
      <w:kern w:val="2"/>
      <w:sz w:val="21"/>
      <w:szCs w:val="24"/>
    </w:rPr>
  </w:style>
  <w:style w:type="paragraph" w:customStyle="1" w:styleId="13">
    <w:name w:val="修订13"/>
    <w:hidden/>
    <w:uiPriority w:val="99"/>
    <w:unhideWhenUsed/>
    <w:rPr>
      <w:rFonts w:ascii="Calibri" w:hAnsi="Calibri"/>
      <w:kern w:val="2"/>
      <w:sz w:val="21"/>
      <w:szCs w:val="24"/>
    </w:rPr>
  </w:style>
  <w:style w:type="paragraph" w:customStyle="1" w:styleId="14">
    <w:name w:val="修订14"/>
    <w:hidden/>
    <w:uiPriority w:val="99"/>
    <w:unhideWhenUsed/>
    <w:rPr>
      <w:rFonts w:ascii="Calibri" w:hAnsi="Calibri"/>
      <w:kern w:val="2"/>
      <w:sz w:val="21"/>
      <w:szCs w:val="24"/>
    </w:rPr>
  </w:style>
  <w:style w:type="paragraph" w:customStyle="1" w:styleId="15">
    <w:name w:val="修订15"/>
    <w:hidden/>
    <w:uiPriority w:val="99"/>
    <w:unhideWhenUsed/>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577</Words>
  <Characters>3289</Characters>
  <Application>Microsoft Office Word</Application>
  <DocSecurity>0</DocSecurity>
  <Lines>27</Lines>
  <Paragraphs>7</Paragraphs>
  <ScaleCrop>false</ScaleCrop>
  <Company>Organization</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uroica</dc:creator>
  <cp:lastModifiedBy>沈 李思</cp:lastModifiedBy>
  <cp:revision>238</cp:revision>
  <dcterms:created xsi:type="dcterms:W3CDTF">2025-11-30T16:52:00Z</dcterms:created>
  <dcterms:modified xsi:type="dcterms:W3CDTF">2026-11-05T13:35:00Z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2052-26.10.0</vt:lpwstr>
  </property>
  <property fmtid="{D5CDD505-2E9C-101B-9397-08002B2CF9AE}" pid="3" name="ICV">
    <vt:lpwstr>10A567A9FBAF8A128423AD68914276AE_43</vt:lpwstr>
  </property>
</Properties>
</file>