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6314AE">
      <w:pPr>
        <w:snapToGrid w:val="0"/>
        <w:spacing w:after="0" w:line="360" w:lineRule="auto"/>
        <w:jc w:val="center"/>
        <w:rPr>
          <w:rFonts w:hint="eastAsia" w:ascii="宋体" w:hAnsi="宋体" w:eastAsia="宋体" w:cs="Times New Roman"/>
          <w:color w:val="000000"/>
          <w:sz w:val="24"/>
          <w14:ligatures w14:val="none"/>
        </w:rPr>
      </w:pPr>
      <w:r>
        <w:rPr>
          <w:rFonts w:ascii="宋体" w:hAnsi="宋体" w:eastAsia="宋体" w:cs="Times New Roman"/>
          <w:b/>
          <w:bCs/>
          <w:color w:val="000000"/>
          <w:sz w:val="24"/>
          <w14:ligatures w14:val="none"/>
        </w:rPr>
        <w:t>青岛海容商用冷链股份有限公司</w:t>
      </w:r>
    </w:p>
    <w:p w14:paraId="6F1D3372">
      <w:pPr>
        <w:snapToGrid w:val="0"/>
        <w:spacing w:after="0" w:line="360" w:lineRule="auto"/>
        <w:jc w:val="center"/>
        <w:rPr>
          <w:rFonts w:hint="eastAsia" w:ascii="宋体" w:hAnsi="宋体" w:eastAsia="宋体" w:cs="Times New Roman"/>
          <w:b/>
          <w:bCs/>
          <w:color w:val="000000"/>
          <w:sz w:val="24"/>
          <w14:ligatures w14:val="none"/>
        </w:rPr>
      </w:pPr>
      <w:r>
        <w:rPr>
          <w:rFonts w:ascii="宋体" w:hAnsi="宋体" w:eastAsia="宋体" w:cs="Times New Roman"/>
          <w:b/>
          <w:bCs/>
          <w:color w:val="000000"/>
          <w:sz w:val="24"/>
          <w14:ligatures w14:val="none"/>
        </w:rPr>
        <w:t>投资者关系活动记录表</w:t>
      </w:r>
    </w:p>
    <w:p w14:paraId="4E4B8D41">
      <w:pPr>
        <w:snapToGrid w:val="0"/>
        <w:spacing w:after="0" w:line="240" w:lineRule="auto"/>
        <w:jc w:val="center"/>
        <w:rPr>
          <w:rFonts w:hint="eastAsia" w:ascii="宋体" w:hAnsi="宋体" w:eastAsia="宋体" w:cs="Times New Roman"/>
          <w:color w:val="000000"/>
          <w:sz w:val="24"/>
          <w14:ligatures w14:val="none"/>
        </w:rPr>
      </w:pPr>
    </w:p>
    <w:p w14:paraId="4376E5BB">
      <w:pPr>
        <w:snapToGrid w:val="0"/>
        <w:spacing w:after="0" w:line="240" w:lineRule="auto"/>
        <w:ind w:right="630"/>
        <w:jc w:val="right"/>
        <w:rPr>
          <w:rFonts w:hint="eastAsia" w:ascii="宋体" w:hAnsi="宋体" w:eastAsia="宋体" w:cs="Times New Roman"/>
          <w:color w:val="000000"/>
          <w:sz w:val="20"/>
          <w:szCs w:val="20"/>
          <w14:ligatures w14:val="none"/>
        </w:rPr>
      </w:pPr>
    </w:p>
    <w:tbl>
      <w:tblPr>
        <w:tblStyle w:val="16"/>
        <w:tblW w:w="8655" w:type="dxa"/>
        <w:tblInd w:w="-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1695"/>
        <w:gridCol w:w="6960"/>
      </w:tblGrid>
      <w:tr w14:paraId="07BA5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1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3581F16">
            <w:pPr>
              <w:snapToGrid w:val="0"/>
              <w:spacing w:after="0" w:line="360" w:lineRule="auto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调研形式</w:t>
            </w:r>
          </w:p>
        </w:tc>
        <w:tc>
          <w:tcPr>
            <w:tcW w:w="6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6AD54E7">
            <w:pPr>
              <w:spacing w:after="0" w:line="360" w:lineRule="auto"/>
              <w:jc w:val="both"/>
              <w:rPr>
                <w:rFonts w:hint="eastAsia" w:ascii="宋体" w:hAnsi="宋体" w:eastAsia="宋体" w:cs="宋体"/>
                <w:bCs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iCs/>
                <w:kern w:val="0"/>
                <w:sz w:val="20"/>
                <w:szCs w:val="20"/>
                <w14:ligatures w14:val="none"/>
              </w:rPr>
              <w:t>√公司现场接待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 xml:space="preserve">           </w:t>
            </w:r>
            <w:bookmarkStart w:id="0" w:name="OLE_LINK2"/>
            <w:r>
              <w:rPr>
                <w:rFonts w:hint="eastAsia" w:ascii="宋体" w:hAnsi="宋体" w:eastAsia="宋体" w:cs="宋体"/>
                <w:bCs/>
                <w:iCs/>
                <w:kern w:val="0"/>
                <w:sz w:val="20"/>
                <w:szCs w:val="20"/>
                <w14:ligatures w14:val="none"/>
              </w:rPr>
              <w:t>√</w:t>
            </w:r>
            <w:bookmarkEnd w:id="0"/>
            <w:r>
              <w:rPr>
                <w:rFonts w:hint="eastAsia" w:ascii="宋体" w:hAnsi="宋体" w:eastAsia="宋体" w:cs="宋体"/>
                <w:bCs/>
                <w:iCs/>
                <w:kern w:val="0"/>
                <w:sz w:val="20"/>
                <w:szCs w:val="20"/>
                <w14:ligatures w14:val="none"/>
              </w:rPr>
              <w:t>电话接待</w:t>
            </w:r>
          </w:p>
          <w:p w14:paraId="629EE773">
            <w:pPr>
              <w:spacing w:after="0" w:line="360" w:lineRule="auto"/>
              <w:jc w:val="both"/>
              <w:rPr>
                <w:rFonts w:hint="eastAsia" w:ascii="宋体" w:hAnsi="宋体" w:eastAsia="宋体" w:cs="宋体"/>
                <w:bCs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iCs/>
                <w:kern w:val="0"/>
                <w:sz w:val="20"/>
                <w:szCs w:val="20"/>
                <w14:ligatures w14:val="none"/>
              </w:rPr>
              <w:t>√其他场所接待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 xml:space="preserve">           </w:t>
            </w:r>
            <w:r>
              <w:rPr>
                <w:rFonts w:hint="eastAsia" w:ascii="宋体" w:hAnsi="宋体" w:eastAsia="宋体" w:cs="宋体"/>
                <w:bCs/>
                <w:iCs/>
                <w:kern w:val="0"/>
                <w:sz w:val="20"/>
                <w:szCs w:val="20"/>
                <w14:ligatures w14:val="none"/>
              </w:rPr>
              <w:t>□公开说明会</w:t>
            </w:r>
          </w:p>
          <w:p w14:paraId="05221633">
            <w:pPr>
              <w:snapToGrid w:val="0"/>
              <w:spacing w:after="0" w:line="360" w:lineRule="auto"/>
              <w:jc w:val="both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iCs/>
                <w:kern w:val="0"/>
                <w:sz w:val="20"/>
                <w:szCs w:val="20"/>
                <w14:ligatures w14:val="none"/>
              </w:rPr>
              <w:t>□定期报告说明会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 xml:space="preserve">         </w:t>
            </w:r>
            <w:r>
              <w:rPr>
                <w:rFonts w:hint="eastAsia" w:ascii="宋体" w:hAnsi="宋体" w:eastAsia="宋体" w:cs="宋体"/>
                <w:bCs/>
                <w:iCs/>
                <w:kern w:val="0"/>
                <w:sz w:val="20"/>
                <w:szCs w:val="20"/>
                <w14:ligatures w14:val="none"/>
              </w:rPr>
              <w:t>□重要公告说明会</w:t>
            </w:r>
          </w:p>
        </w:tc>
      </w:tr>
      <w:tr w14:paraId="2708A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1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314CF71">
            <w:pPr>
              <w:snapToGrid w:val="0"/>
              <w:spacing w:after="0" w:line="360" w:lineRule="auto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调研时间</w:t>
            </w:r>
          </w:p>
        </w:tc>
        <w:tc>
          <w:tcPr>
            <w:tcW w:w="6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066E916">
            <w:pPr>
              <w:snapToGrid w:val="0"/>
              <w:spacing w:after="0" w:line="360" w:lineRule="auto"/>
              <w:jc w:val="both"/>
              <w:rPr>
                <w:rFonts w:hint="default" w:ascii="宋体" w:hAnsi="宋体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202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  <w:r>
              <w:rPr>
                <w:rFonts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年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10月30</w:t>
            </w:r>
            <w:r>
              <w:rPr>
                <w:rFonts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日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、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11月4日、11月5日</w:t>
            </w:r>
          </w:p>
        </w:tc>
      </w:tr>
      <w:tr w14:paraId="528D8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1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2B9D456">
            <w:pPr>
              <w:snapToGrid w:val="0"/>
              <w:spacing w:after="0" w:line="360" w:lineRule="auto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调研地点</w:t>
            </w:r>
          </w:p>
        </w:tc>
        <w:tc>
          <w:tcPr>
            <w:tcW w:w="6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E13A428">
            <w:pPr>
              <w:snapToGrid w:val="0"/>
              <w:spacing w:after="0" w:line="360" w:lineRule="auto"/>
              <w:jc w:val="both"/>
              <w:rPr>
                <w:rFonts w:hint="default" w:ascii="宋体" w:hAnsi="宋体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电话会议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、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公司会议室、武汉</w:t>
            </w:r>
          </w:p>
        </w:tc>
      </w:tr>
      <w:tr w14:paraId="7F413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959" w:hRule="atLeast"/>
        </w:trPr>
        <w:tc>
          <w:tcPr>
            <w:tcW w:w="1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A62FD92">
            <w:pPr>
              <w:snapToGrid w:val="0"/>
              <w:spacing w:after="0" w:line="360" w:lineRule="auto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来访人</w:t>
            </w:r>
          </w:p>
          <w:p w14:paraId="62A67ABE">
            <w:pPr>
              <w:snapToGrid w:val="0"/>
              <w:spacing w:after="0" w:line="360" w:lineRule="auto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姓名、单位</w:t>
            </w:r>
          </w:p>
        </w:tc>
        <w:tc>
          <w:tcPr>
            <w:tcW w:w="6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7BFA769">
            <w:pPr>
              <w:snapToGrid w:val="0"/>
              <w:spacing w:after="0" w:line="360" w:lineRule="auto"/>
              <w:jc w:val="both"/>
              <w:rPr>
                <w:rFonts w:hint="default" w:ascii="宋体" w:hAnsi="宋体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中信证券、华创证券投资者交流电话会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，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中信证券武汉策略会</w:t>
            </w:r>
          </w:p>
          <w:p w14:paraId="7E863F8E">
            <w:pPr>
              <w:snapToGrid w:val="0"/>
              <w:spacing w:after="0" w:line="360" w:lineRule="auto"/>
              <w:jc w:val="both"/>
              <w:rPr>
                <w:rFonts w:hint="default" w:ascii="宋体" w:hAnsi="宋体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宁银理财、东方红、华夏基金、Dymon Asia、建信养老、诺安基金、中信资管 、华夏基金、中庚基金</w:t>
            </w:r>
          </w:p>
        </w:tc>
      </w:tr>
      <w:tr w14:paraId="160B0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918" w:hRule="atLeast"/>
        </w:trPr>
        <w:tc>
          <w:tcPr>
            <w:tcW w:w="1695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0401C2E4">
            <w:pPr>
              <w:snapToGrid w:val="0"/>
              <w:spacing w:after="0" w:line="360" w:lineRule="auto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公司接待人员</w:t>
            </w:r>
          </w:p>
          <w:p w14:paraId="529E4C9D">
            <w:pPr>
              <w:snapToGrid w:val="0"/>
              <w:spacing w:after="0" w:line="360" w:lineRule="auto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姓名、职务</w:t>
            </w:r>
          </w:p>
        </w:tc>
        <w:tc>
          <w:tcPr>
            <w:tcW w:w="6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2ECEFA6">
            <w:pPr>
              <w:snapToGrid w:val="0"/>
              <w:spacing w:after="0" w:line="360" w:lineRule="auto"/>
              <w:jc w:val="both"/>
              <w:rPr>
                <w:rFonts w:hint="default" w:ascii="宋体" w:hAnsi="宋体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赵定勇：董事会秘书</w:t>
            </w:r>
          </w:p>
          <w:p w14:paraId="50A2F12C">
            <w:pPr>
              <w:snapToGrid w:val="0"/>
              <w:spacing w:after="0" w:line="360" w:lineRule="auto"/>
              <w:jc w:val="both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王东海</w:t>
            </w:r>
            <w:r>
              <w:rPr>
                <w:rFonts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：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证券事务代表</w:t>
            </w:r>
          </w:p>
          <w:p w14:paraId="486910F9">
            <w:pPr>
              <w:snapToGrid w:val="0"/>
              <w:spacing w:after="0" w:line="360" w:lineRule="auto"/>
              <w:jc w:val="both"/>
              <w:rPr>
                <w:rFonts w:hint="default" w:ascii="宋体" w:hAnsi="宋体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李濛：证券事务助理</w:t>
            </w:r>
          </w:p>
        </w:tc>
      </w:tr>
      <w:tr w14:paraId="2C77E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995" w:hRule="atLeast"/>
        </w:trPr>
        <w:tc>
          <w:tcPr>
            <w:tcW w:w="1695" w:type="dxa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3FDE8AD1">
            <w:pPr>
              <w:snapToGrid w:val="0"/>
              <w:spacing w:after="0" w:line="360" w:lineRule="auto"/>
              <w:jc w:val="center"/>
              <w:rPr>
                <w:rFonts w:hint="eastAsia" w:ascii="等线" w:hAnsi="等线" w:eastAsia="等线" w:cs="Times New Roman"/>
                <w:kern w:val="0"/>
                <w:sz w:val="21"/>
                <w:szCs w:val="22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投资者关系活动主要内容</w:t>
            </w:r>
          </w:p>
        </w:tc>
        <w:tc>
          <w:tcPr>
            <w:tcW w:w="6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78037CF">
            <w:pPr>
              <w:snapToGrid w:val="0"/>
              <w:spacing w:after="0" w:line="360" w:lineRule="auto"/>
              <w:ind w:left="320"/>
              <w:jc w:val="both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公司接待人员与投资者进行沟通交流，问答交流环节主要内容如下：</w:t>
            </w:r>
          </w:p>
          <w:p w14:paraId="6CE9EFC4">
            <w:pPr>
              <w:pStyle w:val="31"/>
              <w:spacing w:after="0" w:line="360" w:lineRule="auto"/>
              <w:ind w:left="422"/>
              <w:jc w:val="both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  <w14:ligatures w14:val="none"/>
              </w:rPr>
              <w:t>1、2026年前三季度公司业务概况？</w:t>
            </w:r>
          </w:p>
          <w:p w14:paraId="47E66A96">
            <w:pPr>
              <w:spacing w:after="0" w:line="360" w:lineRule="auto"/>
              <w:ind w:firstLine="420" w:firstLineChars="200"/>
              <w:jc w:val="both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  <w14:ligatures w14:val="none"/>
              </w:rPr>
              <w:t>答：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  <w14:ligatures w14:val="none"/>
              </w:rPr>
              <w:t>2026年前三季度，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  <w14:ligatures w14:val="none"/>
              </w:rPr>
              <w:t>冷冻内销业务，下游需求趋于平稳，销量与去年同期持平；冷藏内销业务，公司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  <w14:ligatures w14:val="none"/>
              </w:rPr>
              <w:t>市场策略转型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  <w14:ligatures w14:val="none"/>
              </w:rPr>
              <w:t>，业务销量有所下降；商超业务和智能柜业务保持增长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 w:bidi="ar"/>
                <w14:ligatures w14:val="none"/>
              </w:rPr>
              <w:t>；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  <w14:ligatures w14:val="none"/>
              </w:rPr>
              <w:t>公司出口业务总体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  <w14:ligatures w14:val="none"/>
              </w:rPr>
              <w:t>增长较好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  <w14:ligatures w14:val="none"/>
              </w:rPr>
              <w:t>。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  <w14:ligatures w14:val="none"/>
              </w:rPr>
              <w:t xml:space="preserve">                        </w:t>
            </w:r>
          </w:p>
          <w:p w14:paraId="13C7289A">
            <w:pPr>
              <w:spacing w:after="0"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  <w:p w14:paraId="5A6D4FDF">
            <w:pPr>
              <w:spacing w:after="0" w:line="360" w:lineRule="auto"/>
              <w:ind w:firstLine="422" w:firstLineChars="200"/>
              <w:jc w:val="both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  <w14:ligatures w14:val="none"/>
              </w:rPr>
              <w:t>2、汇兑损失和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股份支付费用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  <w14:ligatures w14:val="none"/>
              </w:rPr>
              <w:t>的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影响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  <w14:ligatures w14:val="none"/>
              </w:rPr>
              <w:t>如何？</w:t>
            </w:r>
          </w:p>
          <w:p w14:paraId="2E9DF322">
            <w:pPr>
              <w:spacing w:after="0"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  <w14:ligatures w14:val="none"/>
              </w:rPr>
              <w:t>答：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  <w14:ligatures w14:val="none"/>
              </w:rPr>
              <w:t>2026年前三季度，汇兑损失同比增加约 6500 万元，股份支付费用同比增加约 1800 万元。</w:t>
            </w:r>
          </w:p>
          <w:p w14:paraId="03A452E3">
            <w:pPr>
              <w:spacing w:after="0" w:line="360" w:lineRule="auto"/>
              <w:ind w:firstLine="422" w:firstLineChars="200"/>
              <w:jc w:val="both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  <w14:ligatures w14:val="none"/>
              </w:rPr>
            </w:pPr>
          </w:p>
          <w:p w14:paraId="632CDE80">
            <w:pPr>
              <w:pStyle w:val="31"/>
              <w:spacing w:after="0" w:line="360" w:lineRule="auto"/>
              <w:ind w:left="0" w:firstLine="422" w:firstLineChars="200"/>
              <w:jc w:val="both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val="en-US" w:eastAsia="zh-CN" w:bidi="ar"/>
                <w14:ligatures w14:val="none"/>
              </w:rPr>
              <w:t>3</w:t>
            </w: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bidi="ar"/>
                <w14:ligatures w14:val="none"/>
              </w:rPr>
              <w:t>、东南亚市场未来</w:t>
            </w: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val="en-US" w:eastAsia="zh-CN" w:bidi="ar"/>
                <w14:ligatures w14:val="none"/>
              </w:rPr>
              <w:t>展望</w:t>
            </w: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bidi="ar"/>
                <w14:ligatures w14:val="none"/>
              </w:rPr>
              <w:t>？</w:t>
            </w:r>
          </w:p>
          <w:p w14:paraId="57CAC8BE">
            <w:pPr>
              <w:spacing w:after="0" w:line="360" w:lineRule="auto"/>
              <w:ind w:firstLine="420" w:firstLineChars="200"/>
              <w:jc w:val="both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  <w14:ligatures w14:val="none"/>
              </w:rPr>
              <w:t>答：</w:t>
            </w: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东南亚地区人口稠密、常年高温，对冷饮、饮料需求量大，商用冷链设备市场潜力广阔；公司在东南亚地区有较好的客户合作基础，印尼工厂顺利投产后，公司服务客户的能力进一步提升，未来该地区的业务有望保持较好的发展势头。</w:t>
            </w:r>
          </w:p>
          <w:p w14:paraId="6D2B5210">
            <w:pPr>
              <w:spacing w:after="0" w:line="360" w:lineRule="auto"/>
              <w:ind w:firstLine="420"/>
              <w:jc w:val="both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  <w14:ligatures w14:val="none"/>
              </w:rPr>
            </w:pPr>
          </w:p>
          <w:p w14:paraId="59705FFF">
            <w:pPr>
              <w:pStyle w:val="31"/>
              <w:spacing w:after="0" w:line="360" w:lineRule="auto"/>
              <w:ind w:left="0" w:firstLine="422" w:firstLineChars="200"/>
              <w:jc w:val="both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  <w14:ligatures w14:val="none"/>
              </w:rPr>
              <w:t>、商超柜业务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增长的动力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  <w14:ligatures w14:val="none"/>
              </w:rPr>
              <w:t>？</w:t>
            </w:r>
          </w:p>
          <w:p w14:paraId="6F192409">
            <w:pPr>
              <w:spacing w:after="0"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ascii="宋体" w:hAnsi="宋体" w:eastAsia="宋体" w:cs="宋体"/>
                <w:bCs/>
                <w:kern w:val="0"/>
                <w:sz w:val="21"/>
                <w:szCs w:val="21"/>
                <w:lang w:bidi="ar"/>
                <w14:ligatures w14:val="none"/>
              </w:rPr>
              <w:t>答：</w:t>
            </w: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近年来，商超展示柜业务发展过程中，公司对该领域的理解逐步加深，产品矩阵不断完善，客户群体覆盖连锁便利店、社区超市、中大型超市，公司凭借一站式解决方案，综合竞争力和市场影响力持续提升。</w:t>
            </w:r>
          </w:p>
          <w:p w14:paraId="6E3CE60C">
            <w:pPr>
              <w:spacing w:after="0"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</w:pPr>
          </w:p>
          <w:p w14:paraId="50CF8384">
            <w:pPr>
              <w:pStyle w:val="31"/>
              <w:spacing w:after="0" w:line="360" w:lineRule="auto"/>
              <w:ind w:left="422"/>
              <w:jc w:val="both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  <w14:ligatures w14:val="none"/>
              </w:rPr>
              <w:t>、智能柜海外市场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情况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  <w14:ligatures w14:val="none"/>
              </w:rPr>
              <w:t>？</w:t>
            </w:r>
          </w:p>
          <w:p w14:paraId="01654E8A">
            <w:pPr>
              <w:spacing w:after="0" w:line="360" w:lineRule="auto"/>
              <w:ind w:firstLine="420" w:firstLineChars="200"/>
              <w:jc w:val="both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  <w14:ligatures w14:val="none"/>
              </w:rPr>
              <w:t>答：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  <w14:ligatures w14:val="none"/>
              </w:rPr>
              <w:t>当前欧洲、美国、日本等市场，自动售货机存量较大，未来自动售货机更新换代，或由升级后的自动售货机、智能售货柜替代。公司已研发出适合海外市场的产品，并在部分海外地区进行了支付渠道等验证，正大力在海外市场推广。</w:t>
            </w:r>
          </w:p>
          <w:p w14:paraId="256D0B2A">
            <w:pPr>
              <w:spacing w:after="0" w:line="360" w:lineRule="auto"/>
              <w:ind w:firstLine="420" w:firstLineChars="200"/>
              <w:jc w:val="both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</w:pPr>
          </w:p>
          <w:p w14:paraId="0BFEC3F2">
            <w:pPr>
              <w:pStyle w:val="31"/>
              <w:spacing w:after="0" w:line="360" w:lineRule="auto"/>
              <w:ind w:left="0" w:leftChars="0" w:firstLine="422" w:firstLineChars="200"/>
              <w:jc w:val="both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  <w14:ligatures w14:val="none"/>
              </w:rPr>
              <w:t>、海外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市场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  <w14:ligatures w14:val="none"/>
              </w:rPr>
              <w:t>开拓的难点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有哪些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  <w14:ligatures w14:val="none"/>
              </w:rPr>
              <w:t>？</w:t>
            </w:r>
          </w:p>
          <w:p w14:paraId="3FF2BA3E">
            <w:pPr>
              <w:spacing w:after="0" w:line="360" w:lineRule="auto"/>
              <w:ind w:firstLine="420" w:firstLineChars="200"/>
              <w:jc w:val="both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  <w14:ligatures w14:val="none"/>
              </w:rPr>
              <w:t>答：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  <w14:ligatures w14:val="none"/>
              </w:rPr>
              <w:t>海外市场开拓的难点包括市场准入、贸易壁垒、品牌认同、本地化服务能力等，随着产品智能化程度提升，客户对本地化服务能力的要求也逐步提高。</w:t>
            </w:r>
          </w:p>
          <w:p w14:paraId="16FC7F0B">
            <w:pPr>
              <w:spacing w:after="0" w:line="360" w:lineRule="auto"/>
              <w:ind w:firstLine="420" w:firstLineChars="200"/>
              <w:jc w:val="both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</w:pPr>
          </w:p>
          <w:p w14:paraId="67A3CF64">
            <w:pPr>
              <w:spacing w:after="0" w:line="360" w:lineRule="auto"/>
              <w:ind w:firstLine="422" w:firstLineChars="200"/>
              <w:jc w:val="both"/>
              <w:rPr>
                <w:rFonts w:hint="default" w:ascii="宋体" w:hAnsi="宋体" w:eastAsia="宋体" w:cs="宋体"/>
                <w:b/>
                <w:bCs w:val="0"/>
                <w:kern w:val="0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1"/>
                <w:szCs w:val="21"/>
                <w:lang w:val="en-US" w:eastAsia="zh-CN" w:bidi="ar"/>
                <w14:ligatures w14:val="none"/>
              </w:rPr>
              <w:t>7、除东南亚之外，还有哪些有潜力的海外市场？</w:t>
            </w:r>
          </w:p>
          <w:p w14:paraId="55314205">
            <w:pPr>
              <w:spacing w:after="0" w:line="360" w:lineRule="auto"/>
              <w:ind w:firstLine="420" w:firstLineChars="200"/>
              <w:jc w:val="both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  <w14:ligatures w14:val="none"/>
              </w:rPr>
              <w:t>答：目前公司出口业务较多的地区主要是东南亚和北美，欧洲和南美市场均有较好的需求潜力，其他海外区域公司也在积极拓展。</w:t>
            </w:r>
          </w:p>
          <w:p w14:paraId="691FB7EB">
            <w:pPr>
              <w:spacing w:after="0"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  <w14:ligatures w14:val="none"/>
              </w:rPr>
            </w:pPr>
          </w:p>
          <w:p w14:paraId="5DBE8F15">
            <w:pPr>
              <w:pStyle w:val="31"/>
              <w:spacing w:after="0" w:line="360" w:lineRule="auto"/>
              <w:ind w:left="0" w:firstLine="422" w:firstLineChars="200"/>
              <w:jc w:val="both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val="en-US" w:eastAsia="zh-CN" w:bidi="ar"/>
                <w14:ligatures w14:val="none"/>
              </w:rPr>
              <w:t>8</w:t>
            </w: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bidi="ar"/>
                <w14:ligatures w14:val="none"/>
              </w:rPr>
              <w:t>、公司账上现金较多，现金流健康，2026年分红率大概什么水平？</w:t>
            </w:r>
          </w:p>
          <w:p w14:paraId="72840D97">
            <w:pPr>
              <w:spacing w:after="0"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  <w14:ligatures w14:val="none"/>
              </w:rPr>
              <w:t>答：</w:t>
            </w:r>
            <w:bookmarkStart w:id="1" w:name="OLE_LINK1"/>
            <w:r>
              <w:rPr>
                <w:rFonts w:ascii="Times New Roman" w:hAnsi="Times New Roman" w:eastAsia="宋体"/>
              </w:rPr>
              <w:t>公司已发布《2027年度</w:t>
            </w:r>
            <w:r>
              <w:rPr>
                <w:rFonts w:hint="eastAsia" w:ascii="Times New Roman" w:hAnsi="Times New Roman" w:eastAsia="宋体"/>
              </w:rPr>
              <w:t>“</w:t>
            </w:r>
            <w:r>
              <w:rPr>
                <w:rFonts w:ascii="Times New Roman" w:hAnsi="Times New Roman" w:eastAsia="宋体"/>
              </w:rPr>
              <w:t>提质增效重回报</w:t>
            </w:r>
            <w:r>
              <w:rPr>
                <w:rFonts w:hint="eastAsia" w:ascii="Times New Roman" w:hAnsi="Times New Roman" w:eastAsia="宋体"/>
              </w:rPr>
              <w:t>”</w:t>
            </w:r>
            <w:r>
              <w:rPr>
                <w:rFonts w:ascii="Times New Roman" w:hAnsi="Times New Roman" w:eastAsia="宋体"/>
              </w:rPr>
              <w:t>2.0行动方案》，分红比例由此前</w:t>
            </w:r>
            <w:r>
              <w:rPr>
                <w:rFonts w:hint="eastAsia" w:ascii="Times New Roman" w:hAnsi="Times New Roman" w:eastAsia="宋体"/>
              </w:rPr>
              <w:t>不低于当年实现的归属于上市公司股东的净利润的50%</w:t>
            </w:r>
            <w:r>
              <w:rPr>
                <w:rFonts w:hint="eastAsia" w:ascii="Times New Roman" w:hAnsi="Times New Roman" w:eastAsia="宋体"/>
                <w:lang w:val="en-US" w:eastAsia="zh-CN"/>
              </w:rPr>
              <w:t>提高</w:t>
            </w:r>
            <w:r>
              <w:rPr>
                <w:rFonts w:hint="eastAsia" w:ascii="Times New Roman" w:hAnsi="Times New Roman" w:eastAsia="宋体"/>
              </w:rPr>
              <w:t>至55%</w:t>
            </w: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  <w14:ligatures w14:val="none"/>
              </w:rPr>
              <w:t>。</w:t>
            </w:r>
          </w:p>
          <w:p w14:paraId="4F0A4873">
            <w:pPr>
              <w:spacing w:after="0"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highlight w:val="none"/>
                <w:lang w:bidi="ar"/>
                <w14:ligatures w14:val="none"/>
              </w:rPr>
            </w:pPr>
          </w:p>
          <w:p w14:paraId="588A4183">
            <w:pPr>
              <w:spacing w:after="0" w:line="360" w:lineRule="auto"/>
              <w:ind w:firstLine="422" w:firstLineChars="200"/>
              <w:jc w:val="both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highlight w:val="none"/>
                <w:lang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highlight w:val="none"/>
                <w:lang w:val="en-US" w:eastAsia="zh-CN" w:bidi="ar"/>
                <w14:ligatures w14:val="none"/>
              </w:rPr>
              <w:t>9</w:t>
            </w: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highlight w:val="none"/>
                <w:lang w:bidi="ar"/>
                <w14:ligatures w14:val="none"/>
              </w:rPr>
              <w:t>、未来两三年是否有大的资本开支？是否考虑继续在海外建厂？</w:t>
            </w:r>
          </w:p>
          <w:p w14:paraId="4B002158">
            <w:pPr>
              <w:spacing w:after="0" w:line="360" w:lineRule="auto"/>
              <w:ind w:firstLine="420"/>
              <w:jc w:val="both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highlight w:val="none"/>
                <w:lang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highlight w:val="none"/>
                <w:lang w:bidi="ar"/>
                <w14:ligatures w14:val="none"/>
              </w:rPr>
              <w:t>答：短期内预计不会有大的资本开支。印尼工厂建成不久，</w:t>
            </w: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highlight w:val="none"/>
                <w:lang w:val="en-US" w:eastAsia="zh-CN" w:bidi="ar"/>
                <w14:ligatures w14:val="none"/>
              </w:rPr>
              <w:t>公司暂时没有新的海外建厂计划</w:t>
            </w: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highlight w:val="none"/>
                <w:lang w:bidi="ar"/>
                <w14:ligatures w14:val="none"/>
              </w:rPr>
              <w:t>。</w:t>
            </w:r>
          </w:p>
          <w:p w14:paraId="0F7C21C2">
            <w:pPr>
              <w:spacing w:after="0" w:line="360" w:lineRule="auto"/>
              <w:ind w:firstLine="420"/>
              <w:jc w:val="both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highlight w:val="none"/>
                <w:lang w:bidi="ar"/>
                <w14:ligatures w14:val="none"/>
              </w:rPr>
            </w:pPr>
          </w:p>
          <w:p w14:paraId="7B09905A">
            <w:pPr>
              <w:numPr>
                <w:ilvl w:val="0"/>
                <w:numId w:val="1"/>
              </w:numPr>
              <w:spacing w:after="0" w:line="360" w:lineRule="auto"/>
              <w:ind w:firstLine="420"/>
              <w:jc w:val="both"/>
              <w:rPr>
                <w:rFonts w:hint="eastAsia" w:ascii="宋体" w:hAnsi="宋体" w:eastAsia="宋体" w:cs="宋体"/>
                <w:b/>
                <w:bCs w:val="0"/>
                <w:kern w:val="0"/>
                <w:sz w:val="21"/>
                <w:szCs w:val="21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1"/>
                <w:szCs w:val="21"/>
                <w:highlight w:val="none"/>
                <w:lang w:val="en-US" w:eastAsia="zh-CN" w:bidi="ar"/>
                <w14:ligatures w14:val="none"/>
              </w:rPr>
              <w:t>印尼工厂生产情况？</w:t>
            </w:r>
          </w:p>
          <w:p w14:paraId="3C1B10FF">
            <w:pPr>
              <w:numPr>
                <w:ilvl w:val="0"/>
                <w:numId w:val="0"/>
              </w:numPr>
              <w:spacing w:after="0" w:line="360" w:lineRule="auto"/>
              <w:ind w:firstLine="421"/>
              <w:jc w:val="both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highlight w:val="none"/>
                <w:lang w:val="en-US" w:eastAsia="zh-CN" w:bidi="ar"/>
                <w14:ligatures w14:val="none"/>
              </w:rPr>
              <w:t>答：至2026年10月份，印尼工厂生产了约15万台产品，主要是冷冻展示柜。</w:t>
            </w:r>
          </w:p>
          <w:p w14:paraId="715B959E">
            <w:pPr>
              <w:numPr>
                <w:ilvl w:val="0"/>
                <w:numId w:val="0"/>
              </w:numPr>
              <w:spacing w:after="0" w:line="360" w:lineRule="auto"/>
              <w:ind w:firstLine="421"/>
              <w:jc w:val="both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highlight w:val="none"/>
                <w:lang w:val="en-US" w:eastAsia="zh-CN" w:bidi="ar"/>
                <w14:ligatures w14:val="none"/>
              </w:rPr>
            </w:pPr>
            <w:bookmarkStart w:id="2" w:name="_GoBack"/>
            <w:bookmarkEnd w:id="2"/>
          </w:p>
          <w:p w14:paraId="6045995C">
            <w:pPr>
              <w:numPr>
                <w:ilvl w:val="0"/>
                <w:numId w:val="1"/>
              </w:numPr>
              <w:spacing w:after="0" w:line="360" w:lineRule="auto"/>
              <w:ind w:left="0" w:leftChars="0" w:firstLine="420" w:firstLineChars="0"/>
              <w:jc w:val="both"/>
              <w:rPr>
                <w:rFonts w:hint="eastAsia" w:ascii="宋体" w:hAnsi="宋体" w:eastAsia="宋体" w:cs="宋体"/>
                <w:b/>
                <w:bCs w:val="0"/>
                <w:kern w:val="0"/>
                <w:sz w:val="21"/>
                <w:szCs w:val="21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1"/>
                <w:szCs w:val="21"/>
                <w:highlight w:val="none"/>
                <w:lang w:val="en-US" w:eastAsia="zh-CN" w:bidi="ar"/>
                <w14:ligatures w14:val="none"/>
              </w:rPr>
              <w:t>公司在智能柜方面的优势？</w:t>
            </w:r>
          </w:p>
          <w:p w14:paraId="6286283E">
            <w:pPr>
              <w:numPr>
                <w:ilvl w:val="0"/>
                <w:numId w:val="0"/>
              </w:numPr>
              <w:spacing w:after="0" w:line="360" w:lineRule="auto"/>
              <w:ind w:firstLine="420" w:firstLineChars="200"/>
              <w:jc w:val="both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highlight w:val="none"/>
                <w:lang w:val="en-US" w:eastAsia="zh-CN" w:bidi="ar"/>
                <w14:ligatures w14:val="none"/>
              </w:rPr>
              <w:t>答：公司智能柜业务布局早，软件研发团队经验丰富，技术路线成熟，产品和技术不断优化升级，结合公司对行业的深刻理解，开发的产品更贴近市场需求；公司与下游品牌方客户广泛合作，为产品升级迭代提供充足的基础数据。</w:t>
            </w:r>
          </w:p>
          <w:bookmarkEnd w:id="1"/>
          <w:p w14:paraId="72566E27">
            <w:pPr>
              <w:spacing w:after="0"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  <w14:ligatures w14:val="none"/>
              </w:rPr>
            </w:pPr>
          </w:p>
          <w:p w14:paraId="57C49AEA">
            <w:pPr>
              <w:spacing w:after="0" w:line="360" w:lineRule="auto"/>
              <w:jc w:val="both"/>
              <w:rPr>
                <w:rFonts w:hint="eastAsia" w:ascii="楷体" w:hAnsi="楷体" w:eastAsia="楷体" w:cs="宋体"/>
                <w:kern w:val="0"/>
                <w:sz w:val="21"/>
                <w:szCs w:val="21"/>
                <w:lang w:bidi="ar"/>
                <w14:ligatures w14:val="none"/>
              </w:rPr>
            </w:pPr>
            <w:r>
              <w:rPr>
                <w:rFonts w:hint="eastAsia" w:ascii="楷体" w:hAnsi="楷体" w:eastAsia="楷体" w:cs="宋体"/>
                <w:kern w:val="0"/>
                <w:sz w:val="21"/>
                <w:szCs w:val="21"/>
                <w:lang w:bidi="ar"/>
                <w14:ligatures w14:val="none"/>
              </w:rPr>
              <w:t>（本记录中如涉及对外部环境判断、公司发展战略、未来计划、预期、展望等描述，不构成公司对投资者的实质承诺，敬请投资者注意投资风险！）</w:t>
            </w:r>
          </w:p>
        </w:tc>
      </w:tr>
      <w:tr w14:paraId="43C34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942" w:hRule="atLeast"/>
        </w:trPr>
        <w:tc>
          <w:tcPr>
            <w:tcW w:w="1695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E20D9D8">
            <w:pPr>
              <w:snapToGrid w:val="0"/>
              <w:spacing w:after="0" w:line="360" w:lineRule="auto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附件清单</w:t>
            </w:r>
          </w:p>
          <w:p w14:paraId="1D51DEEE">
            <w:pPr>
              <w:snapToGrid w:val="0"/>
              <w:spacing w:after="0" w:line="360" w:lineRule="auto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（如有）</w:t>
            </w:r>
          </w:p>
        </w:tc>
        <w:tc>
          <w:tcPr>
            <w:tcW w:w="6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E2116C">
            <w:pPr>
              <w:snapToGrid w:val="0"/>
              <w:spacing w:after="0" w:line="360" w:lineRule="auto"/>
              <w:ind w:firstLine="400" w:firstLineChars="200"/>
              <w:jc w:val="both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无</w:t>
            </w:r>
          </w:p>
        </w:tc>
      </w:tr>
      <w:tr w14:paraId="62B72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1149" w:hRule="atLeast"/>
        </w:trPr>
        <w:tc>
          <w:tcPr>
            <w:tcW w:w="1695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684E559">
            <w:pPr>
              <w:snapToGrid w:val="0"/>
              <w:spacing w:after="0" w:line="360" w:lineRule="auto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备注</w:t>
            </w:r>
          </w:p>
        </w:tc>
        <w:tc>
          <w:tcPr>
            <w:tcW w:w="6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35F867C">
            <w:pPr>
              <w:snapToGrid w:val="0"/>
              <w:spacing w:after="0" w:line="360" w:lineRule="auto"/>
              <w:ind w:firstLine="400" w:firstLineChars="200"/>
              <w:jc w:val="both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接待过程中，公司与投资者进行了充分的交流与沟通，并严格按照公司《信息披露管理制度》等规定，保证信息披露的真实、准确、完整、</w:t>
            </w:r>
            <w:r>
              <w:rPr>
                <w:rFonts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及时、公平，没有出现未公开重大信息泄露等情况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。</w:t>
            </w:r>
          </w:p>
        </w:tc>
      </w:tr>
    </w:tbl>
    <w:p w14:paraId="274631D8">
      <w:pPr>
        <w:widowControl/>
        <w:spacing w:after="0" w:line="240" w:lineRule="auto"/>
        <w:rPr>
          <w:rFonts w:hint="eastAsia" w:ascii="等线" w:hAnsi="等线" w:eastAsia="等线" w:cs="Times New Roman"/>
          <w:sz w:val="21"/>
          <w:szCs w:val="22"/>
          <w14:ligatures w14:val="none"/>
        </w:rPr>
      </w:pPr>
    </w:p>
    <w:p w14:paraId="4AF2F054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11CC0C"/>
    <w:multiLevelType w:val="singleLevel"/>
    <w:tmpl w:val="9411CC0C"/>
    <w:lvl w:ilvl="0" w:tentative="0">
      <w:start w:val="10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675"/>
    <w:rsid w:val="0001505F"/>
    <w:rsid w:val="000229EA"/>
    <w:rsid w:val="00024F8D"/>
    <w:rsid w:val="00026A13"/>
    <w:rsid w:val="00027586"/>
    <w:rsid w:val="00032665"/>
    <w:rsid w:val="000409C5"/>
    <w:rsid w:val="00043644"/>
    <w:rsid w:val="000440A2"/>
    <w:rsid w:val="0005231B"/>
    <w:rsid w:val="00054348"/>
    <w:rsid w:val="0005660A"/>
    <w:rsid w:val="00061C88"/>
    <w:rsid w:val="00062C7C"/>
    <w:rsid w:val="00067B50"/>
    <w:rsid w:val="00067FD1"/>
    <w:rsid w:val="00071B70"/>
    <w:rsid w:val="0007546E"/>
    <w:rsid w:val="0008303F"/>
    <w:rsid w:val="00085433"/>
    <w:rsid w:val="00086A3A"/>
    <w:rsid w:val="00091E14"/>
    <w:rsid w:val="00092135"/>
    <w:rsid w:val="000A0C0F"/>
    <w:rsid w:val="000A28CB"/>
    <w:rsid w:val="000A3B17"/>
    <w:rsid w:val="000C0BFE"/>
    <w:rsid w:val="000C1767"/>
    <w:rsid w:val="000C30C7"/>
    <w:rsid w:val="000C6E75"/>
    <w:rsid w:val="000D2C32"/>
    <w:rsid w:val="000D3CDF"/>
    <w:rsid w:val="000E1F86"/>
    <w:rsid w:val="0010122D"/>
    <w:rsid w:val="001024ED"/>
    <w:rsid w:val="00105A44"/>
    <w:rsid w:val="001106C5"/>
    <w:rsid w:val="00114EAB"/>
    <w:rsid w:val="00120283"/>
    <w:rsid w:val="0013094E"/>
    <w:rsid w:val="001309C1"/>
    <w:rsid w:val="001331A2"/>
    <w:rsid w:val="00133A79"/>
    <w:rsid w:val="00151480"/>
    <w:rsid w:val="00160F72"/>
    <w:rsid w:val="00164735"/>
    <w:rsid w:val="001649D9"/>
    <w:rsid w:val="001659E6"/>
    <w:rsid w:val="00182B53"/>
    <w:rsid w:val="00183F5B"/>
    <w:rsid w:val="001923F1"/>
    <w:rsid w:val="001A01D7"/>
    <w:rsid w:val="001A0DC7"/>
    <w:rsid w:val="001A48AC"/>
    <w:rsid w:val="001A5926"/>
    <w:rsid w:val="001B51A5"/>
    <w:rsid w:val="001C5AD0"/>
    <w:rsid w:val="001E41E7"/>
    <w:rsid w:val="001E5AC0"/>
    <w:rsid w:val="001E5B7E"/>
    <w:rsid w:val="001E7C5E"/>
    <w:rsid w:val="001F15BC"/>
    <w:rsid w:val="001F3713"/>
    <w:rsid w:val="00203635"/>
    <w:rsid w:val="00211175"/>
    <w:rsid w:val="002116EE"/>
    <w:rsid w:val="002116EF"/>
    <w:rsid w:val="00211C62"/>
    <w:rsid w:val="00220A3D"/>
    <w:rsid w:val="00222625"/>
    <w:rsid w:val="002233AC"/>
    <w:rsid w:val="00227773"/>
    <w:rsid w:val="00230286"/>
    <w:rsid w:val="002307D9"/>
    <w:rsid w:val="00230D33"/>
    <w:rsid w:val="00232402"/>
    <w:rsid w:val="00234587"/>
    <w:rsid w:val="0023666B"/>
    <w:rsid w:val="00236750"/>
    <w:rsid w:val="00243EE6"/>
    <w:rsid w:val="002556A0"/>
    <w:rsid w:val="00256857"/>
    <w:rsid w:val="002640CA"/>
    <w:rsid w:val="00267947"/>
    <w:rsid w:val="00271098"/>
    <w:rsid w:val="002711E2"/>
    <w:rsid w:val="002759AF"/>
    <w:rsid w:val="00290FF5"/>
    <w:rsid w:val="002A0228"/>
    <w:rsid w:val="002A38BE"/>
    <w:rsid w:val="002A72ED"/>
    <w:rsid w:val="002A7D5E"/>
    <w:rsid w:val="002B1BF1"/>
    <w:rsid w:val="002B69FF"/>
    <w:rsid w:val="002C11F5"/>
    <w:rsid w:val="002C1F78"/>
    <w:rsid w:val="002C69D9"/>
    <w:rsid w:val="002D03FB"/>
    <w:rsid w:val="002D3B5B"/>
    <w:rsid w:val="002E0919"/>
    <w:rsid w:val="002E2AE1"/>
    <w:rsid w:val="002E46EB"/>
    <w:rsid w:val="002E59ED"/>
    <w:rsid w:val="002F124E"/>
    <w:rsid w:val="002F2150"/>
    <w:rsid w:val="002F4725"/>
    <w:rsid w:val="002F59A8"/>
    <w:rsid w:val="002F6078"/>
    <w:rsid w:val="003165FF"/>
    <w:rsid w:val="00334C0B"/>
    <w:rsid w:val="00334DED"/>
    <w:rsid w:val="00335B62"/>
    <w:rsid w:val="00340C10"/>
    <w:rsid w:val="00343C9A"/>
    <w:rsid w:val="00344BFB"/>
    <w:rsid w:val="003546CA"/>
    <w:rsid w:val="00355109"/>
    <w:rsid w:val="0036090C"/>
    <w:rsid w:val="003647C5"/>
    <w:rsid w:val="00365414"/>
    <w:rsid w:val="003660B7"/>
    <w:rsid w:val="00367E23"/>
    <w:rsid w:val="00371C4E"/>
    <w:rsid w:val="00372856"/>
    <w:rsid w:val="00382883"/>
    <w:rsid w:val="00387F03"/>
    <w:rsid w:val="00391893"/>
    <w:rsid w:val="0039411D"/>
    <w:rsid w:val="003A0F2F"/>
    <w:rsid w:val="003A3ED4"/>
    <w:rsid w:val="003B026B"/>
    <w:rsid w:val="003B379A"/>
    <w:rsid w:val="003B7E16"/>
    <w:rsid w:val="003C1165"/>
    <w:rsid w:val="003C3784"/>
    <w:rsid w:val="003C73EA"/>
    <w:rsid w:val="003D24E3"/>
    <w:rsid w:val="003D47CB"/>
    <w:rsid w:val="003D5F1A"/>
    <w:rsid w:val="003E465D"/>
    <w:rsid w:val="003F1AEC"/>
    <w:rsid w:val="003F3D19"/>
    <w:rsid w:val="00401354"/>
    <w:rsid w:val="00402F1F"/>
    <w:rsid w:val="00405FBC"/>
    <w:rsid w:val="00406BA7"/>
    <w:rsid w:val="0041105A"/>
    <w:rsid w:val="00416C0A"/>
    <w:rsid w:val="0042004A"/>
    <w:rsid w:val="004210B8"/>
    <w:rsid w:val="00423D94"/>
    <w:rsid w:val="0042501E"/>
    <w:rsid w:val="004279A3"/>
    <w:rsid w:val="00431BA8"/>
    <w:rsid w:val="004353F0"/>
    <w:rsid w:val="00445680"/>
    <w:rsid w:val="004507C6"/>
    <w:rsid w:val="00452723"/>
    <w:rsid w:val="00456B6E"/>
    <w:rsid w:val="0047013A"/>
    <w:rsid w:val="00471430"/>
    <w:rsid w:val="004728EB"/>
    <w:rsid w:val="00474FF0"/>
    <w:rsid w:val="00475259"/>
    <w:rsid w:val="0047782C"/>
    <w:rsid w:val="00480ED6"/>
    <w:rsid w:val="0048161F"/>
    <w:rsid w:val="004820FE"/>
    <w:rsid w:val="00484E64"/>
    <w:rsid w:val="004854B7"/>
    <w:rsid w:val="00486D33"/>
    <w:rsid w:val="00491EA8"/>
    <w:rsid w:val="00494F71"/>
    <w:rsid w:val="004961E6"/>
    <w:rsid w:val="004A13EC"/>
    <w:rsid w:val="004A3539"/>
    <w:rsid w:val="004A46D3"/>
    <w:rsid w:val="004B0C1D"/>
    <w:rsid w:val="004B25CC"/>
    <w:rsid w:val="004B547F"/>
    <w:rsid w:val="004B5CFE"/>
    <w:rsid w:val="004B603D"/>
    <w:rsid w:val="004C0830"/>
    <w:rsid w:val="004C281B"/>
    <w:rsid w:val="004C4BC3"/>
    <w:rsid w:val="004D1426"/>
    <w:rsid w:val="004D2AD3"/>
    <w:rsid w:val="004D3945"/>
    <w:rsid w:val="004D39DB"/>
    <w:rsid w:val="004D6633"/>
    <w:rsid w:val="004D6F84"/>
    <w:rsid w:val="004D7403"/>
    <w:rsid w:val="004E0A17"/>
    <w:rsid w:val="004E153E"/>
    <w:rsid w:val="004F16E9"/>
    <w:rsid w:val="004F2745"/>
    <w:rsid w:val="004F42B8"/>
    <w:rsid w:val="00500A15"/>
    <w:rsid w:val="0050664F"/>
    <w:rsid w:val="00506710"/>
    <w:rsid w:val="00506E41"/>
    <w:rsid w:val="005101A4"/>
    <w:rsid w:val="00510F0E"/>
    <w:rsid w:val="005132FF"/>
    <w:rsid w:val="00514C99"/>
    <w:rsid w:val="00514FCB"/>
    <w:rsid w:val="00524553"/>
    <w:rsid w:val="0052475D"/>
    <w:rsid w:val="00526CBF"/>
    <w:rsid w:val="005373B2"/>
    <w:rsid w:val="005418C0"/>
    <w:rsid w:val="00542563"/>
    <w:rsid w:val="00543A79"/>
    <w:rsid w:val="00545366"/>
    <w:rsid w:val="005514C8"/>
    <w:rsid w:val="00551C17"/>
    <w:rsid w:val="00554047"/>
    <w:rsid w:val="00554B2C"/>
    <w:rsid w:val="0055641C"/>
    <w:rsid w:val="005619EE"/>
    <w:rsid w:val="00563886"/>
    <w:rsid w:val="00565C1A"/>
    <w:rsid w:val="00571858"/>
    <w:rsid w:val="005769DB"/>
    <w:rsid w:val="00577EDC"/>
    <w:rsid w:val="0058600D"/>
    <w:rsid w:val="005940FE"/>
    <w:rsid w:val="00594470"/>
    <w:rsid w:val="005A2BE3"/>
    <w:rsid w:val="005A5E09"/>
    <w:rsid w:val="005A611D"/>
    <w:rsid w:val="005B0894"/>
    <w:rsid w:val="005B13AB"/>
    <w:rsid w:val="005B1D78"/>
    <w:rsid w:val="005B39E0"/>
    <w:rsid w:val="005B402C"/>
    <w:rsid w:val="005E3DC2"/>
    <w:rsid w:val="005E7393"/>
    <w:rsid w:val="005F556D"/>
    <w:rsid w:val="005F670F"/>
    <w:rsid w:val="005F6DD7"/>
    <w:rsid w:val="005F7B02"/>
    <w:rsid w:val="006033D7"/>
    <w:rsid w:val="0060791C"/>
    <w:rsid w:val="00614726"/>
    <w:rsid w:val="00635B17"/>
    <w:rsid w:val="00646148"/>
    <w:rsid w:val="00646E56"/>
    <w:rsid w:val="00646F38"/>
    <w:rsid w:val="006643D9"/>
    <w:rsid w:val="00666813"/>
    <w:rsid w:val="006760AF"/>
    <w:rsid w:val="006811B0"/>
    <w:rsid w:val="0068165A"/>
    <w:rsid w:val="00682715"/>
    <w:rsid w:val="00686AEF"/>
    <w:rsid w:val="00687B76"/>
    <w:rsid w:val="006920C5"/>
    <w:rsid w:val="00692B9B"/>
    <w:rsid w:val="00693058"/>
    <w:rsid w:val="006945BE"/>
    <w:rsid w:val="00697C78"/>
    <w:rsid w:val="006A0510"/>
    <w:rsid w:val="006A5123"/>
    <w:rsid w:val="006A7BEE"/>
    <w:rsid w:val="006B6EB4"/>
    <w:rsid w:val="006C13F5"/>
    <w:rsid w:val="006C611D"/>
    <w:rsid w:val="006D074B"/>
    <w:rsid w:val="006E5F46"/>
    <w:rsid w:val="006E7991"/>
    <w:rsid w:val="006F5BEE"/>
    <w:rsid w:val="006F73A0"/>
    <w:rsid w:val="006F7E3A"/>
    <w:rsid w:val="00704259"/>
    <w:rsid w:val="00707DF1"/>
    <w:rsid w:val="007110D0"/>
    <w:rsid w:val="007135E2"/>
    <w:rsid w:val="00714DB2"/>
    <w:rsid w:val="007201C8"/>
    <w:rsid w:val="007232F3"/>
    <w:rsid w:val="00724B14"/>
    <w:rsid w:val="00726320"/>
    <w:rsid w:val="00731BD2"/>
    <w:rsid w:val="0073422F"/>
    <w:rsid w:val="00735644"/>
    <w:rsid w:val="00735F15"/>
    <w:rsid w:val="00736381"/>
    <w:rsid w:val="007440D4"/>
    <w:rsid w:val="007536A3"/>
    <w:rsid w:val="00755C05"/>
    <w:rsid w:val="00755ED1"/>
    <w:rsid w:val="0076313F"/>
    <w:rsid w:val="007759AA"/>
    <w:rsid w:val="007779D4"/>
    <w:rsid w:val="00781CFF"/>
    <w:rsid w:val="007837FC"/>
    <w:rsid w:val="007841BE"/>
    <w:rsid w:val="00785E6C"/>
    <w:rsid w:val="007916C3"/>
    <w:rsid w:val="00792196"/>
    <w:rsid w:val="00794895"/>
    <w:rsid w:val="007A5274"/>
    <w:rsid w:val="007A7893"/>
    <w:rsid w:val="007A7BF7"/>
    <w:rsid w:val="007B0982"/>
    <w:rsid w:val="007B33EA"/>
    <w:rsid w:val="007B430B"/>
    <w:rsid w:val="007C387C"/>
    <w:rsid w:val="007C4AA4"/>
    <w:rsid w:val="007C6C00"/>
    <w:rsid w:val="007D2F8B"/>
    <w:rsid w:val="007D31EA"/>
    <w:rsid w:val="007E2A7B"/>
    <w:rsid w:val="007E3D17"/>
    <w:rsid w:val="007E5845"/>
    <w:rsid w:val="007E5BC7"/>
    <w:rsid w:val="007E6538"/>
    <w:rsid w:val="007E6AFA"/>
    <w:rsid w:val="007E773F"/>
    <w:rsid w:val="007F24B7"/>
    <w:rsid w:val="0080311D"/>
    <w:rsid w:val="00805682"/>
    <w:rsid w:val="00806A01"/>
    <w:rsid w:val="00811044"/>
    <w:rsid w:val="00815973"/>
    <w:rsid w:val="008167AC"/>
    <w:rsid w:val="00816F60"/>
    <w:rsid w:val="00830439"/>
    <w:rsid w:val="00831F99"/>
    <w:rsid w:val="00836269"/>
    <w:rsid w:val="008378D8"/>
    <w:rsid w:val="0084140C"/>
    <w:rsid w:val="00844328"/>
    <w:rsid w:val="008500FC"/>
    <w:rsid w:val="008522F3"/>
    <w:rsid w:val="00857F6A"/>
    <w:rsid w:val="00860337"/>
    <w:rsid w:val="00870AF0"/>
    <w:rsid w:val="00872A40"/>
    <w:rsid w:val="00873527"/>
    <w:rsid w:val="008859D7"/>
    <w:rsid w:val="00886062"/>
    <w:rsid w:val="008872D9"/>
    <w:rsid w:val="00887531"/>
    <w:rsid w:val="00887916"/>
    <w:rsid w:val="008928E1"/>
    <w:rsid w:val="00897305"/>
    <w:rsid w:val="008A07A7"/>
    <w:rsid w:val="008A791A"/>
    <w:rsid w:val="008A7C0C"/>
    <w:rsid w:val="008B40EA"/>
    <w:rsid w:val="008B6618"/>
    <w:rsid w:val="008B6CD9"/>
    <w:rsid w:val="008C01C5"/>
    <w:rsid w:val="008C6AEA"/>
    <w:rsid w:val="008D48EC"/>
    <w:rsid w:val="008E69C0"/>
    <w:rsid w:val="008F13D8"/>
    <w:rsid w:val="008F1D14"/>
    <w:rsid w:val="008F2B0E"/>
    <w:rsid w:val="00900639"/>
    <w:rsid w:val="00901A77"/>
    <w:rsid w:val="00906A61"/>
    <w:rsid w:val="00910BFE"/>
    <w:rsid w:val="00912C02"/>
    <w:rsid w:val="0091613F"/>
    <w:rsid w:val="0092369E"/>
    <w:rsid w:val="00924919"/>
    <w:rsid w:val="00925CDB"/>
    <w:rsid w:val="00932C15"/>
    <w:rsid w:val="00932E3D"/>
    <w:rsid w:val="0093762F"/>
    <w:rsid w:val="00941901"/>
    <w:rsid w:val="009421A5"/>
    <w:rsid w:val="00942858"/>
    <w:rsid w:val="00944667"/>
    <w:rsid w:val="009607AD"/>
    <w:rsid w:val="00965C9B"/>
    <w:rsid w:val="00974165"/>
    <w:rsid w:val="00974C2E"/>
    <w:rsid w:val="009750E7"/>
    <w:rsid w:val="00980E32"/>
    <w:rsid w:val="00981612"/>
    <w:rsid w:val="009938EE"/>
    <w:rsid w:val="00995151"/>
    <w:rsid w:val="00997BBE"/>
    <w:rsid w:val="009A30E6"/>
    <w:rsid w:val="009A6CBB"/>
    <w:rsid w:val="009B2989"/>
    <w:rsid w:val="009C18C3"/>
    <w:rsid w:val="009C19FA"/>
    <w:rsid w:val="009C3D2E"/>
    <w:rsid w:val="009C45B2"/>
    <w:rsid w:val="009C532D"/>
    <w:rsid w:val="009D1D41"/>
    <w:rsid w:val="009D3230"/>
    <w:rsid w:val="009F12F1"/>
    <w:rsid w:val="009F4764"/>
    <w:rsid w:val="009F70A9"/>
    <w:rsid w:val="00A05DC3"/>
    <w:rsid w:val="00A167EF"/>
    <w:rsid w:val="00A169A1"/>
    <w:rsid w:val="00A204A6"/>
    <w:rsid w:val="00A4439A"/>
    <w:rsid w:val="00A51912"/>
    <w:rsid w:val="00A526CB"/>
    <w:rsid w:val="00A52704"/>
    <w:rsid w:val="00A54390"/>
    <w:rsid w:val="00A5450E"/>
    <w:rsid w:val="00A61B6B"/>
    <w:rsid w:val="00A73278"/>
    <w:rsid w:val="00A839B0"/>
    <w:rsid w:val="00A87C17"/>
    <w:rsid w:val="00A91D38"/>
    <w:rsid w:val="00A91DC4"/>
    <w:rsid w:val="00AA0491"/>
    <w:rsid w:val="00AB0249"/>
    <w:rsid w:val="00AC29F8"/>
    <w:rsid w:val="00AC3AA2"/>
    <w:rsid w:val="00AD0368"/>
    <w:rsid w:val="00AD7F04"/>
    <w:rsid w:val="00AE2DC6"/>
    <w:rsid w:val="00AE3C23"/>
    <w:rsid w:val="00AF1AB1"/>
    <w:rsid w:val="00AF29B8"/>
    <w:rsid w:val="00B123E8"/>
    <w:rsid w:val="00B149C8"/>
    <w:rsid w:val="00B14B8A"/>
    <w:rsid w:val="00B17202"/>
    <w:rsid w:val="00B23264"/>
    <w:rsid w:val="00B30FA0"/>
    <w:rsid w:val="00B31D87"/>
    <w:rsid w:val="00B328F2"/>
    <w:rsid w:val="00B4085C"/>
    <w:rsid w:val="00B44049"/>
    <w:rsid w:val="00B4554A"/>
    <w:rsid w:val="00B46682"/>
    <w:rsid w:val="00B4776D"/>
    <w:rsid w:val="00B504AA"/>
    <w:rsid w:val="00B55615"/>
    <w:rsid w:val="00B6474E"/>
    <w:rsid w:val="00B70340"/>
    <w:rsid w:val="00B712EB"/>
    <w:rsid w:val="00B71B0C"/>
    <w:rsid w:val="00B727B7"/>
    <w:rsid w:val="00B7702D"/>
    <w:rsid w:val="00B813B2"/>
    <w:rsid w:val="00B83B3E"/>
    <w:rsid w:val="00B847B1"/>
    <w:rsid w:val="00B93DF5"/>
    <w:rsid w:val="00B940A0"/>
    <w:rsid w:val="00BA477C"/>
    <w:rsid w:val="00BA5412"/>
    <w:rsid w:val="00BB3963"/>
    <w:rsid w:val="00BC1842"/>
    <w:rsid w:val="00BC3F2D"/>
    <w:rsid w:val="00BC5EBC"/>
    <w:rsid w:val="00BC6049"/>
    <w:rsid w:val="00BD62A9"/>
    <w:rsid w:val="00BD7E86"/>
    <w:rsid w:val="00BE2136"/>
    <w:rsid w:val="00BE725A"/>
    <w:rsid w:val="00C0304C"/>
    <w:rsid w:val="00C04E26"/>
    <w:rsid w:val="00C12AB9"/>
    <w:rsid w:val="00C15413"/>
    <w:rsid w:val="00C17BEA"/>
    <w:rsid w:val="00C17F77"/>
    <w:rsid w:val="00C262F4"/>
    <w:rsid w:val="00C30D0B"/>
    <w:rsid w:val="00C30F56"/>
    <w:rsid w:val="00C32837"/>
    <w:rsid w:val="00C33AF7"/>
    <w:rsid w:val="00C33C55"/>
    <w:rsid w:val="00C34DF6"/>
    <w:rsid w:val="00C35FC4"/>
    <w:rsid w:val="00C42FBD"/>
    <w:rsid w:val="00C47A3E"/>
    <w:rsid w:val="00C55805"/>
    <w:rsid w:val="00C62DD0"/>
    <w:rsid w:val="00C644DD"/>
    <w:rsid w:val="00C71AEB"/>
    <w:rsid w:val="00C72DD0"/>
    <w:rsid w:val="00C74FFD"/>
    <w:rsid w:val="00C82E5B"/>
    <w:rsid w:val="00C84459"/>
    <w:rsid w:val="00C86689"/>
    <w:rsid w:val="00C90D32"/>
    <w:rsid w:val="00C91C7C"/>
    <w:rsid w:val="00C92677"/>
    <w:rsid w:val="00CA1446"/>
    <w:rsid w:val="00CA2A2C"/>
    <w:rsid w:val="00CA6C8C"/>
    <w:rsid w:val="00CB1E8F"/>
    <w:rsid w:val="00CB2164"/>
    <w:rsid w:val="00CB598E"/>
    <w:rsid w:val="00CC0790"/>
    <w:rsid w:val="00CC3E4F"/>
    <w:rsid w:val="00CC4D5E"/>
    <w:rsid w:val="00CD6E6F"/>
    <w:rsid w:val="00CE3843"/>
    <w:rsid w:val="00CE3F6D"/>
    <w:rsid w:val="00CF0FBB"/>
    <w:rsid w:val="00CF6BD2"/>
    <w:rsid w:val="00D0057D"/>
    <w:rsid w:val="00D028ED"/>
    <w:rsid w:val="00D1604E"/>
    <w:rsid w:val="00D174A9"/>
    <w:rsid w:val="00D222C2"/>
    <w:rsid w:val="00D274DE"/>
    <w:rsid w:val="00D33629"/>
    <w:rsid w:val="00D365C6"/>
    <w:rsid w:val="00D47889"/>
    <w:rsid w:val="00D5672F"/>
    <w:rsid w:val="00D615E4"/>
    <w:rsid w:val="00D64113"/>
    <w:rsid w:val="00D6725C"/>
    <w:rsid w:val="00D73BB0"/>
    <w:rsid w:val="00D75C71"/>
    <w:rsid w:val="00D82CA2"/>
    <w:rsid w:val="00D830C9"/>
    <w:rsid w:val="00D831EA"/>
    <w:rsid w:val="00D870AD"/>
    <w:rsid w:val="00D9264E"/>
    <w:rsid w:val="00D967DE"/>
    <w:rsid w:val="00D968D3"/>
    <w:rsid w:val="00DA0B90"/>
    <w:rsid w:val="00DB3CD4"/>
    <w:rsid w:val="00DB4749"/>
    <w:rsid w:val="00DB512D"/>
    <w:rsid w:val="00DC285B"/>
    <w:rsid w:val="00DD0AD8"/>
    <w:rsid w:val="00DE31AD"/>
    <w:rsid w:val="00DF035B"/>
    <w:rsid w:val="00DF1119"/>
    <w:rsid w:val="00DF2F62"/>
    <w:rsid w:val="00DF47FE"/>
    <w:rsid w:val="00DF77E0"/>
    <w:rsid w:val="00E01DCF"/>
    <w:rsid w:val="00E04E51"/>
    <w:rsid w:val="00E07D61"/>
    <w:rsid w:val="00E12C8D"/>
    <w:rsid w:val="00E23F5B"/>
    <w:rsid w:val="00E26867"/>
    <w:rsid w:val="00E26C63"/>
    <w:rsid w:val="00E30E16"/>
    <w:rsid w:val="00E34296"/>
    <w:rsid w:val="00E449E0"/>
    <w:rsid w:val="00E56C28"/>
    <w:rsid w:val="00E65210"/>
    <w:rsid w:val="00E65C52"/>
    <w:rsid w:val="00E67D06"/>
    <w:rsid w:val="00E7163C"/>
    <w:rsid w:val="00E71737"/>
    <w:rsid w:val="00E759B8"/>
    <w:rsid w:val="00E80527"/>
    <w:rsid w:val="00E806B9"/>
    <w:rsid w:val="00E8244A"/>
    <w:rsid w:val="00E87AAE"/>
    <w:rsid w:val="00E90700"/>
    <w:rsid w:val="00E95560"/>
    <w:rsid w:val="00EA2B02"/>
    <w:rsid w:val="00EA638B"/>
    <w:rsid w:val="00EB1625"/>
    <w:rsid w:val="00EB3BBC"/>
    <w:rsid w:val="00EB7059"/>
    <w:rsid w:val="00EC1426"/>
    <w:rsid w:val="00EC14B3"/>
    <w:rsid w:val="00EC54C8"/>
    <w:rsid w:val="00EC6F71"/>
    <w:rsid w:val="00ED3623"/>
    <w:rsid w:val="00ED77A1"/>
    <w:rsid w:val="00EE64A2"/>
    <w:rsid w:val="00EF6C57"/>
    <w:rsid w:val="00F03202"/>
    <w:rsid w:val="00F03F29"/>
    <w:rsid w:val="00F12961"/>
    <w:rsid w:val="00F15326"/>
    <w:rsid w:val="00F20767"/>
    <w:rsid w:val="00F24709"/>
    <w:rsid w:val="00F26D19"/>
    <w:rsid w:val="00F32675"/>
    <w:rsid w:val="00F43055"/>
    <w:rsid w:val="00F5146C"/>
    <w:rsid w:val="00F52853"/>
    <w:rsid w:val="00F573D0"/>
    <w:rsid w:val="00F611CA"/>
    <w:rsid w:val="00F623D1"/>
    <w:rsid w:val="00F6360E"/>
    <w:rsid w:val="00F64203"/>
    <w:rsid w:val="00F6636C"/>
    <w:rsid w:val="00F70F68"/>
    <w:rsid w:val="00F71404"/>
    <w:rsid w:val="00F72A0C"/>
    <w:rsid w:val="00F740C5"/>
    <w:rsid w:val="00F753A2"/>
    <w:rsid w:val="00F76A46"/>
    <w:rsid w:val="00F80B20"/>
    <w:rsid w:val="00F84FA1"/>
    <w:rsid w:val="00F947B3"/>
    <w:rsid w:val="00F94A6B"/>
    <w:rsid w:val="00F971D5"/>
    <w:rsid w:val="00F97629"/>
    <w:rsid w:val="00FB3E7F"/>
    <w:rsid w:val="00FB4054"/>
    <w:rsid w:val="00FC3424"/>
    <w:rsid w:val="00FC4118"/>
    <w:rsid w:val="00FC478B"/>
    <w:rsid w:val="00FC7967"/>
    <w:rsid w:val="00FD1ABF"/>
    <w:rsid w:val="00FD1EE3"/>
    <w:rsid w:val="00FD51DF"/>
    <w:rsid w:val="00FD5AA8"/>
    <w:rsid w:val="00FF2795"/>
    <w:rsid w:val="00FF36E8"/>
    <w:rsid w:val="00FF3E1B"/>
    <w:rsid w:val="013D3F07"/>
    <w:rsid w:val="043B4C5B"/>
    <w:rsid w:val="08010EC1"/>
    <w:rsid w:val="08E92AA4"/>
    <w:rsid w:val="0B730B97"/>
    <w:rsid w:val="0BCB4B16"/>
    <w:rsid w:val="0C94253C"/>
    <w:rsid w:val="0E1A518B"/>
    <w:rsid w:val="1CEA52BB"/>
    <w:rsid w:val="26F53D72"/>
    <w:rsid w:val="31DE6AA2"/>
    <w:rsid w:val="3801798E"/>
    <w:rsid w:val="3E726EF0"/>
    <w:rsid w:val="3F2E544A"/>
    <w:rsid w:val="469108FB"/>
    <w:rsid w:val="49B26D3A"/>
    <w:rsid w:val="50D852D8"/>
    <w:rsid w:val="60011381"/>
    <w:rsid w:val="64C51278"/>
    <w:rsid w:val="67450300"/>
    <w:rsid w:val="6D3B3907"/>
    <w:rsid w:val="741218CE"/>
    <w:rsid w:val="755A0DD9"/>
    <w:rsid w:val="76AA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1311</Words>
  <Characters>1357</Characters>
  <Lines>19</Lines>
  <Paragraphs>5</Paragraphs>
  <TotalTime>11</TotalTime>
  <ScaleCrop>false</ScaleCrop>
  <LinksUpToDate>false</LinksUpToDate>
  <CharactersWithSpaces>1418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2026-11-02T05:38:00Z</dcterms:created>
  <dc:creator>MENG LI</dc:creator>
  <cp:lastModifiedBy>MZ</cp:lastModifiedBy>
  <dcterms:modified xsi:type="dcterms:W3CDTF">2026-11-06T03:52:55Z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eyJoZGlkIjoiMDRhMmViNDIyZmFiOWYwMGU4YzFiNjNlNWVmZTE0YWYiLCJ1c2VySWQiOiI1OTA2OTA2OTcifQ==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9CFE89C583794222AC9F6F7E41A8BB22_12</vt:lpwstr>
  </property>
</Properties>
</file>