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F7ADD" w14:textId="77777777" w:rsidR="000B17DB" w:rsidRDefault="000F0352">
      <w:pPr>
        <w:adjustRightInd w:val="0"/>
        <w:snapToGrid w:val="0"/>
        <w:spacing w:line="360" w:lineRule="auto"/>
        <w:jc w:val="center"/>
        <w:rPr>
          <w:rFonts w:ascii="宋体" w:eastAsia="宋体" w:hAnsi="宋体"/>
          <w:b/>
          <w:color w:val="FF0000"/>
          <w:sz w:val="40"/>
          <w:szCs w:val="24"/>
        </w:rPr>
      </w:pPr>
      <w:r>
        <w:rPr>
          <w:rFonts w:ascii="宋体" w:eastAsia="宋体" w:hAnsi="宋体" w:hint="eastAsia"/>
          <w:b/>
          <w:color w:val="FF0000"/>
          <w:sz w:val="40"/>
          <w:szCs w:val="24"/>
        </w:rPr>
        <w:t>欧派家居集团股份有限公司</w:t>
      </w:r>
    </w:p>
    <w:p w14:paraId="46594747" w14:textId="77777777" w:rsidR="000B17DB" w:rsidRDefault="000F0352">
      <w:pPr>
        <w:adjustRightInd w:val="0"/>
        <w:snapToGrid w:val="0"/>
        <w:spacing w:line="360" w:lineRule="auto"/>
        <w:jc w:val="center"/>
        <w:rPr>
          <w:rFonts w:ascii="宋体" w:eastAsia="宋体" w:hAnsi="宋体"/>
          <w:b/>
          <w:color w:val="FF0000"/>
          <w:sz w:val="24"/>
          <w:szCs w:val="24"/>
        </w:rPr>
      </w:pPr>
      <w:r>
        <w:rPr>
          <w:rFonts w:ascii="宋体" w:eastAsia="宋体" w:hAnsi="宋体" w:hint="eastAsia"/>
          <w:b/>
          <w:color w:val="FF0000"/>
          <w:sz w:val="40"/>
          <w:szCs w:val="24"/>
        </w:rPr>
        <w:t>投资者交流活动会议纪要</w:t>
      </w:r>
    </w:p>
    <w:p w14:paraId="6A104435" w14:textId="77777777" w:rsidR="000B17DB" w:rsidRDefault="000F0352">
      <w:pPr>
        <w:adjustRightInd w:val="0"/>
        <w:snapToGrid w:val="0"/>
        <w:spacing w:beforeLines="50" w:before="156" w:afterLines="50" w:after="156" w:line="360" w:lineRule="auto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一、基本情况</w:t>
      </w:r>
    </w:p>
    <w:p w14:paraId="0D15A828" w14:textId="77777777" w:rsidR="000B17DB" w:rsidRDefault="000F0352">
      <w:pPr>
        <w:adjustRightInd w:val="0"/>
        <w:snapToGrid w:val="0"/>
        <w:spacing w:beforeLines="50" w:before="156" w:afterLines="50" w:after="156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/>
          <w:sz w:val="24"/>
          <w:szCs w:val="24"/>
        </w:rPr>
        <w:t>、时间：</w:t>
      </w:r>
      <w:r>
        <w:rPr>
          <w:rFonts w:ascii="Times New Roman" w:eastAsia="宋体" w:hAnsi="Times New Roman" w:cs="Times New Roman"/>
          <w:sz w:val="24"/>
          <w:szCs w:val="24"/>
        </w:rPr>
        <w:t>2026</w:t>
      </w:r>
      <w:r>
        <w:rPr>
          <w:rFonts w:ascii="Times New Roman" w:eastAsia="宋体" w:hAnsi="Times New Roman" w:cs="Times New Roman"/>
          <w:sz w:val="24"/>
          <w:szCs w:val="24"/>
        </w:rPr>
        <w:t>年</w:t>
      </w:r>
      <w:r>
        <w:rPr>
          <w:rFonts w:ascii="Times New Roman" w:eastAsia="宋体" w:hAnsi="Times New Roman" w:cs="Times New Roman"/>
          <w:sz w:val="24"/>
          <w:szCs w:val="24"/>
        </w:rPr>
        <w:t>11</w:t>
      </w:r>
      <w:r>
        <w:rPr>
          <w:rFonts w:ascii="Times New Roman" w:eastAsia="宋体" w:hAnsi="Times New Roman" w:cs="Times New Roman"/>
          <w:sz w:val="24"/>
          <w:szCs w:val="24"/>
        </w:rPr>
        <w:t>月</w:t>
      </w:r>
      <w:r>
        <w:rPr>
          <w:rFonts w:ascii="Times New Roman" w:eastAsia="宋体" w:hAnsi="Times New Roman" w:cs="Times New Roman"/>
          <w:sz w:val="24"/>
          <w:szCs w:val="24"/>
        </w:rPr>
        <w:t>5</w:t>
      </w:r>
      <w:r>
        <w:rPr>
          <w:rFonts w:ascii="Times New Roman" w:eastAsia="宋体" w:hAnsi="Times New Roman" w:cs="Times New Roman"/>
          <w:sz w:val="24"/>
          <w:szCs w:val="24"/>
        </w:rPr>
        <w:t>日</w:t>
      </w:r>
      <w:r>
        <w:rPr>
          <w:rFonts w:ascii="Times New Roman" w:eastAsia="宋体" w:hAnsi="Times New Roman" w:cs="Times New Roman"/>
          <w:sz w:val="24"/>
          <w:szCs w:val="24"/>
        </w:rPr>
        <w:t>15:00-16:00</w:t>
      </w:r>
    </w:p>
    <w:p w14:paraId="12E0C686" w14:textId="77777777" w:rsidR="000B17DB" w:rsidRDefault="000F0352">
      <w:pPr>
        <w:adjustRightInd w:val="0"/>
        <w:snapToGrid w:val="0"/>
        <w:spacing w:beforeLines="50" w:before="156" w:afterLines="50" w:after="156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、地点：广州市白云区广花三路</w:t>
      </w:r>
      <w:r>
        <w:rPr>
          <w:rFonts w:ascii="Times New Roman" w:eastAsia="宋体" w:hAnsi="Times New Roman" w:cs="Times New Roman"/>
          <w:sz w:val="24"/>
          <w:szCs w:val="24"/>
        </w:rPr>
        <w:t>366</w:t>
      </w:r>
      <w:r>
        <w:rPr>
          <w:rFonts w:ascii="Times New Roman" w:eastAsia="宋体" w:hAnsi="Times New Roman" w:cs="Times New Roman"/>
          <w:sz w:val="24"/>
          <w:szCs w:val="24"/>
        </w:rPr>
        <w:t>号欧派家居总部</w:t>
      </w:r>
    </w:p>
    <w:p w14:paraId="542CBACD" w14:textId="77777777" w:rsidR="000B17DB" w:rsidRDefault="000F0352">
      <w:pPr>
        <w:adjustRightInd w:val="0"/>
        <w:snapToGrid w:val="0"/>
        <w:spacing w:beforeLines="50" w:before="156" w:afterLines="50" w:after="156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3</w:t>
      </w:r>
      <w:r>
        <w:rPr>
          <w:rFonts w:ascii="Times New Roman" w:eastAsia="宋体" w:hAnsi="Times New Roman" w:cs="Times New Roman"/>
          <w:sz w:val="24"/>
          <w:szCs w:val="24"/>
        </w:rPr>
        <w:t>、公司参与人员：公司财务负责人赵莉莉、董事会秘书欧盈盈、投资者关系负责人任才</w:t>
      </w:r>
    </w:p>
    <w:p w14:paraId="5307262F" w14:textId="77777777" w:rsidR="000B17DB" w:rsidRDefault="000F0352">
      <w:pPr>
        <w:adjustRightInd w:val="0"/>
        <w:snapToGrid w:val="0"/>
        <w:spacing w:beforeLines="50" w:before="156" w:afterLines="50" w:after="156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4</w:t>
      </w:r>
      <w:r>
        <w:rPr>
          <w:rFonts w:ascii="Times New Roman" w:eastAsia="宋体" w:hAnsi="Times New Roman" w:cs="Times New Roman"/>
          <w:sz w:val="24"/>
          <w:szCs w:val="24"/>
        </w:rPr>
        <w:t>、交流会形式：电话会议</w:t>
      </w:r>
    </w:p>
    <w:p w14:paraId="7A521C9B" w14:textId="3DFD8C9A" w:rsidR="000B17DB" w:rsidRDefault="000F0352">
      <w:pPr>
        <w:adjustRightInd w:val="0"/>
        <w:snapToGrid w:val="0"/>
        <w:spacing w:beforeLines="50" w:before="156" w:afterLines="50" w:after="156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5</w:t>
      </w:r>
      <w:r>
        <w:rPr>
          <w:rFonts w:ascii="Times New Roman" w:eastAsia="宋体" w:hAnsi="Times New Roman" w:cs="Times New Roman"/>
          <w:sz w:val="24"/>
          <w:szCs w:val="24"/>
        </w:rPr>
        <w:t>、参会投资者：来自</w:t>
      </w:r>
      <w:proofErr w:type="gramStart"/>
      <w:r>
        <w:rPr>
          <w:rFonts w:ascii="Times New Roman" w:eastAsia="宋体" w:hAnsi="Times New Roman" w:cs="Times New Roman"/>
          <w:sz w:val="24"/>
          <w:szCs w:val="24"/>
        </w:rPr>
        <w:t>国泰海通</w:t>
      </w:r>
      <w:proofErr w:type="gramEnd"/>
      <w:r>
        <w:rPr>
          <w:rFonts w:ascii="Times New Roman" w:eastAsia="宋体" w:hAnsi="Times New Roman" w:cs="Times New Roman"/>
          <w:sz w:val="24"/>
          <w:szCs w:val="24"/>
        </w:rPr>
        <w:t>证券、长江证券、申万宏源证券、中金公司、</w:t>
      </w:r>
      <w:proofErr w:type="gramStart"/>
      <w:r>
        <w:rPr>
          <w:rFonts w:ascii="Times New Roman" w:eastAsia="宋体" w:hAnsi="Times New Roman" w:cs="Times New Roman"/>
          <w:sz w:val="24"/>
          <w:szCs w:val="24"/>
        </w:rPr>
        <w:t>浙商证券</w:t>
      </w:r>
      <w:proofErr w:type="gramEnd"/>
      <w:r>
        <w:rPr>
          <w:rFonts w:ascii="Times New Roman" w:eastAsia="宋体" w:hAnsi="Times New Roman" w:cs="Times New Roman"/>
          <w:sz w:val="24"/>
          <w:szCs w:val="24"/>
        </w:rPr>
        <w:t>、国海证券、国信证券等</w:t>
      </w:r>
      <w:r>
        <w:rPr>
          <w:rFonts w:ascii="Times New Roman" w:eastAsia="宋体" w:hAnsi="Times New Roman" w:cs="Times New Roman" w:hint="eastAsia"/>
          <w:sz w:val="24"/>
          <w:szCs w:val="24"/>
        </w:rPr>
        <w:t>200</w:t>
      </w:r>
      <w:r>
        <w:rPr>
          <w:rFonts w:ascii="Times New Roman" w:eastAsia="宋体" w:hAnsi="Times New Roman" w:cs="Times New Roman"/>
          <w:sz w:val="24"/>
          <w:szCs w:val="24"/>
        </w:rPr>
        <w:t>余位投资者。</w:t>
      </w:r>
    </w:p>
    <w:p w14:paraId="7B6CF3C2" w14:textId="77777777" w:rsidR="000B17DB" w:rsidRDefault="000F0352">
      <w:pPr>
        <w:adjustRightInd w:val="0"/>
        <w:snapToGrid w:val="0"/>
        <w:spacing w:beforeLines="50" w:before="156" w:afterLines="50" w:after="156" w:line="360" w:lineRule="auto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二、交流情况</w:t>
      </w:r>
    </w:p>
    <w:p w14:paraId="463333D8" w14:textId="77777777" w:rsidR="000B17DB" w:rsidRDefault="000F0352">
      <w:pPr>
        <w:adjustRightInd w:val="0"/>
        <w:snapToGrid w:val="0"/>
        <w:spacing w:beforeLines="50" w:before="156" w:afterLines="50" w:after="156" w:line="360" w:lineRule="auto"/>
        <w:ind w:firstLineChars="200" w:firstLine="482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/>
          <w:b/>
          <w:bCs/>
          <w:sz w:val="24"/>
          <w:szCs w:val="24"/>
        </w:rPr>
        <w:t>1</w:t>
      </w:r>
      <w:r>
        <w:rPr>
          <w:rFonts w:ascii="宋体" w:eastAsia="宋体" w:hAnsi="宋体" w:hint="eastAsia"/>
          <w:b/>
          <w:bCs/>
          <w:sz w:val="24"/>
          <w:szCs w:val="24"/>
        </w:rPr>
        <w:t>、三季度利润下滑幅度大于收入，毛利率也出现下滑的原因？</w:t>
      </w:r>
    </w:p>
    <w:p w14:paraId="4E12EA1E" w14:textId="37906422" w:rsidR="000B17DB" w:rsidRDefault="000F0352">
      <w:pPr>
        <w:adjustRightInd w:val="0"/>
        <w:snapToGrid w:val="0"/>
        <w:spacing w:beforeLines="50" w:before="156" w:afterLines="50" w:after="156" w:line="360" w:lineRule="auto"/>
        <w:ind w:firstLineChars="200" w:firstLine="482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答：</w:t>
      </w:r>
      <w:r>
        <w:rPr>
          <w:rFonts w:ascii="宋体" w:eastAsia="宋体" w:hAnsi="宋体" w:hint="eastAsia"/>
          <w:bCs/>
          <w:sz w:val="24"/>
          <w:szCs w:val="24"/>
        </w:rPr>
        <w:t>一是收入端承压，行业仍处于深度调整期，新房家装配套需求下降，</w:t>
      </w:r>
      <w:proofErr w:type="gramStart"/>
      <w:r>
        <w:rPr>
          <w:rFonts w:ascii="宋体" w:eastAsia="宋体" w:hAnsi="宋体" w:hint="eastAsia"/>
          <w:bCs/>
          <w:sz w:val="24"/>
          <w:szCs w:val="24"/>
        </w:rPr>
        <w:t>旧改及存量</w:t>
      </w:r>
      <w:proofErr w:type="gramEnd"/>
      <w:r>
        <w:rPr>
          <w:rFonts w:ascii="宋体" w:eastAsia="宋体" w:hAnsi="宋体" w:hint="eastAsia"/>
          <w:bCs/>
          <w:sz w:val="24"/>
          <w:szCs w:val="24"/>
        </w:rPr>
        <w:t>房装修的释放节奏偏慢，相应的商业模型和盈利模式仍在探索中；收入规模收缩后，固定成本和刚性费用摊薄效应变弱，规模效应随之减弱；二是价格与结构承压，需求下行叠加行业竞争加剧，产品售价有所下降，产品结构发生变化；三是收入基数偏高，去年同期</w:t>
      </w:r>
      <w:proofErr w:type="gramStart"/>
      <w:r>
        <w:rPr>
          <w:rFonts w:ascii="宋体" w:eastAsia="宋体" w:hAnsi="宋体" w:hint="eastAsia"/>
          <w:bCs/>
          <w:sz w:val="24"/>
          <w:szCs w:val="24"/>
        </w:rPr>
        <w:t>国补对</w:t>
      </w:r>
      <w:proofErr w:type="gramEnd"/>
      <w:r>
        <w:rPr>
          <w:rFonts w:ascii="宋体" w:eastAsia="宋体" w:hAnsi="宋体" w:hint="eastAsia"/>
          <w:bCs/>
          <w:sz w:val="24"/>
          <w:szCs w:val="24"/>
        </w:rPr>
        <w:t>收入形成一定支撑，本期比较基数相对较高。利润降幅大于收入降幅，主要受需求收缩影响，公司经营基本面未发生重大不利变化。</w:t>
      </w:r>
    </w:p>
    <w:p w14:paraId="582EEFC4" w14:textId="68BEFBF2" w:rsidR="000B17DB" w:rsidRDefault="000F0352">
      <w:pPr>
        <w:adjustRightInd w:val="0"/>
        <w:snapToGrid w:val="0"/>
        <w:spacing w:beforeLines="50" w:before="156" w:afterLines="50" w:after="156" w:line="360" w:lineRule="auto"/>
        <w:ind w:firstLineChars="200" w:firstLine="480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从中长期来看，市场需求正由新房驱动转向存量翻新驱动，量价两端都会经历较长的调整过程。公司对应的应对方向是产品结构优化、降本增效和渠道变革。关于全年毛利率展望，当下行业需求持续偏弱，终端复苏节奏偏慢，叠加收入规模收缩之后，固定成本分摊压力被动抬升，毛利率仍面临一定挑战。公司持续推进降本控费、全链条供应链优化、</w:t>
      </w:r>
      <w:proofErr w:type="gramStart"/>
      <w:r>
        <w:rPr>
          <w:rFonts w:ascii="宋体" w:eastAsia="宋体" w:hAnsi="宋体" w:hint="eastAsia"/>
          <w:bCs/>
          <w:sz w:val="24"/>
          <w:szCs w:val="24"/>
        </w:rPr>
        <w:t>产线自动化</w:t>
      </w:r>
      <w:proofErr w:type="gramEnd"/>
      <w:r>
        <w:rPr>
          <w:rFonts w:ascii="宋体" w:eastAsia="宋体" w:hAnsi="宋体" w:hint="eastAsia"/>
          <w:bCs/>
          <w:sz w:val="24"/>
          <w:szCs w:val="24"/>
        </w:rPr>
        <w:t>与工艺优化，尽可能对</w:t>
      </w:r>
      <w:proofErr w:type="gramStart"/>
      <w:r>
        <w:rPr>
          <w:rFonts w:ascii="宋体" w:eastAsia="宋体" w:hAnsi="宋体" w:hint="eastAsia"/>
          <w:bCs/>
          <w:sz w:val="24"/>
          <w:szCs w:val="24"/>
        </w:rPr>
        <w:t>冲收入</w:t>
      </w:r>
      <w:proofErr w:type="gramEnd"/>
      <w:r>
        <w:rPr>
          <w:rFonts w:ascii="宋体" w:eastAsia="宋体" w:hAnsi="宋体" w:hint="eastAsia"/>
          <w:bCs/>
          <w:sz w:val="24"/>
          <w:szCs w:val="24"/>
        </w:rPr>
        <w:t>下滑带来的毛利压力。</w:t>
      </w:r>
    </w:p>
    <w:p w14:paraId="33ACB69C" w14:textId="77777777" w:rsidR="000B17DB" w:rsidRDefault="000F0352">
      <w:pPr>
        <w:adjustRightInd w:val="0"/>
        <w:snapToGrid w:val="0"/>
        <w:spacing w:beforeLines="50" w:before="156" w:afterLines="50" w:after="156" w:line="360" w:lineRule="auto"/>
        <w:ind w:firstLineChars="200" w:firstLine="482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/>
          <w:b/>
          <w:bCs/>
          <w:sz w:val="24"/>
          <w:szCs w:val="24"/>
        </w:rPr>
        <w:lastRenderedPageBreak/>
        <w:t>2</w:t>
      </w:r>
      <w:r>
        <w:rPr>
          <w:rFonts w:ascii="宋体" w:eastAsia="宋体" w:hAnsi="宋体" w:hint="eastAsia"/>
          <w:b/>
          <w:bCs/>
          <w:sz w:val="24"/>
          <w:szCs w:val="24"/>
        </w:rPr>
        <w:t>、三季度信用减值规模大幅增加的原因？</w:t>
      </w:r>
    </w:p>
    <w:p w14:paraId="03E65E5C" w14:textId="04BEF295" w:rsidR="000B17DB" w:rsidRDefault="000F0352">
      <w:pPr>
        <w:adjustRightInd w:val="0"/>
        <w:snapToGrid w:val="0"/>
        <w:spacing w:beforeLines="50" w:before="156" w:afterLines="50" w:after="156" w:line="360" w:lineRule="auto"/>
        <w:ind w:firstLineChars="200" w:firstLine="482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答：</w:t>
      </w:r>
      <w:r>
        <w:rPr>
          <w:rFonts w:ascii="宋体" w:eastAsia="宋体" w:hAnsi="宋体" w:hint="eastAsia"/>
          <w:sz w:val="24"/>
          <w:szCs w:val="24"/>
        </w:rPr>
        <w:t>公司一贯秉持审慎经营理念，在外部经营环境发生变化时，会重新复盘、评估、预判未来信用风险。基于审慎性原则，结合客户资信状况变化，对应提升应收账款信用减值准备。同时，公司落地多项应对举措：强化客户信用分级管理，多渠道加大回款跟进力度，常态化跟踪客户经营与回款情况，滚动开展风险评估。前端做好风控，后端推进回款催收，多</w:t>
      </w:r>
      <w:proofErr w:type="gramStart"/>
      <w:r>
        <w:rPr>
          <w:rFonts w:ascii="宋体" w:eastAsia="宋体" w:hAnsi="宋体" w:hint="eastAsia"/>
          <w:sz w:val="24"/>
          <w:szCs w:val="24"/>
        </w:rPr>
        <w:t>措</w:t>
      </w:r>
      <w:proofErr w:type="gramEnd"/>
      <w:r>
        <w:rPr>
          <w:rFonts w:ascii="宋体" w:eastAsia="宋体" w:hAnsi="宋体" w:hint="eastAsia"/>
          <w:sz w:val="24"/>
          <w:szCs w:val="24"/>
        </w:rPr>
        <w:t>并举持续压降应收规模，管控信用风险。</w:t>
      </w:r>
    </w:p>
    <w:p w14:paraId="37BEA12D" w14:textId="77777777" w:rsidR="000B17DB" w:rsidRDefault="000F0352">
      <w:pPr>
        <w:adjustRightInd w:val="0"/>
        <w:snapToGrid w:val="0"/>
        <w:spacing w:beforeLines="50" w:before="156" w:afterLines="50" w:after="156" w:line="360" w:lineRule="auto"/>
        <w:ind w:firstLineChars="200" w:firstLine="482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/>
          <w:b/>
          <w:bCs/>
          <w:sz w:val="24"/>
          <w:szCs w:val="24"/>
        </w:rPr>
        <w:t>3</w:t>
      </w:r>
      <w:r>
        <w:rPr>
          <w:rFonts w:ascii="宋体" w:eastAsia="宋体" w:hAnsi="宋体" w:hint="eastAsia"/>
          <w:b/>
          <w:bCs/>
          <w:sz w:val="24"/>
          <w:szCs w:val="24"/>
        </w:rPr>
        <w:t>、“其他”品类毛利率三季度下滑明显的原因？</w:t>
      </w:r>
    </w:p>
    <w:p w14:paraId="273A0634" w14:textId="22896FBB" w:rsidR="000B17DB" w:rsidRDefault="000F0352">
      <w:pPr>
        <w:adjustRightInd w:val="0"/>
        <w:snapToGrid w:val="0"/>
        <w:spacing w:beforeLines="50" w:before="156" w:afterLines="50" w:after="156" w:line="360" w:lineRule="auto"/>
        <w:ind w:firstLineChars="200" w:firstLine="482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答：</w:t>
      </w:r>
      <w:r>
        <w:rPr>
          <w:rFonts w:ascii="宋体" w:eastAsia="宋体" w:hAnsi="宋体" w:hint="eastAsia"/>
          <w:sz w:val="24"/>
          <w:szCs w:val="24"/>
        </w:rPr>
        <w:t>大家居模式下公司产品品类不断丰富，报表中“其他”品类主要包含金属门窗、装甲门、装饰物料等配套产品。该板块收入占比较低，毛利率本身波动较大，本期主要受产品结构变动影响，低毛利产品销售占比阶段性抬升，造成品类毛利率出现波动。</w:t>
      </w:r>
    </w:p>
    <w:p w14:paraId="08F552F5" w14:textId="77777777" w:rsidR="000B17DB" w:rsidRDefault="000F0352">
      <w:pPr>
        <w:adjustRightInd w:val="0"/>
        <w:snapToGrid w:val="0"/>
        <w:spacing w:beforeLines="50" w:before="156" w:afterLines="50" w:after="156" w:line="360" w:lineRule="auto"/>
        <w:ind w:firstLineChars="200" w:firstLine="482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/>
          <w:b/>
          <w:bCs/>
          <w:sz w:val="24"/>
          <w:szCs w:val="24"/>
        </w:rPr>
        <w:t>4</w:t>
      </w:r>
      <w:r>
        <w:rPr>
          <w:rFonts w:ascii="宋体" w:eastAsia="宋体" w:hAnsi="宋体" w:hint="eastAsia"/>
          <w:b/>
          <w:bCs/>
          <w:sz w:val="24"/>
          <w:szCs w:val="24"/>
        </w:rPr>
        <w:t>、零售大家居改革目前成效如何？</w:t>
      </w:r>
    </w:p>
    <w:p w14:paraId="4E051AA2" w14:textId="13B364AE" w:rsidR="000B17DB" w:rsidRDefault="000F0352">
      <w:pPr>
        <w:adjustRightInd w:val="0"/>
        <w:snapToGrid w:val="0"/>
        <w:spacing w:beforeLines="50" w:before="156" w:afterLines="50" w:after="156" w:line="360" w:lineRule="auto"/>
        <w:ind w:firstLineChars="200" w:firstLine="482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答：</w:t>
      </w:r>
      <w:r>
        <w:rPr>
          <w:rFonts w:ascii="宋体" w:eastAsia="宋体" w:hAnsi="宋体" w:hint="eastAsia"/>
          <w:bCs/>
          <w:sz w:val="24"/>
          <w:szCs w:val="24"/>
        </w:rPr>
        <w:t xml:space="preserve">大家居是公司核心战略，经过多轮摸索迭代，当前方向已经清晰：一是定制+整装一体化，二是逐步向存量市场过渡。定制与整装一体化的销售模式，对现有经销商、门店形态带来一定转型压力，也对经销商的装修参与度和项目管理能力提出了更高要求。欧派作为较早拥抱整装的家居企业，将持续迭代优化，强化对经销商的赋能与转型支持。 </w:t>
      </w:r>
    </w:p>
    <w:p w14:paraId="2504AF39" w14:textId="77777777" w:rsidR="000B17DB" w:rsidRDefault="000F0352">
      <w:pPr>
        <w:adjustRightInd w:val="0"/>
        <w:snapToGrid w:val="0"/>
        <w:spacing w:beforeLines="50" w:before="156" w:afterLines="50" w:after="156" w:line="360" w:lineRule="auto"/>
        <w:ind w:firstLineChars="200" w:firstLine="482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/>
          <w:b/>
          <w:bCs/>
          <w:sz w:val="24"/>
          <w:szCs w:val="24"/>
        </w:rPr>
        <w:t>5</w:t>
      </w:r>
      <w:r>
        <w:rPr>
          <w:rFonts w:ascii="宋体" w:eastAsia="宋体" w:hAnsi="宋体" w:hint="eastAsia"/>
          <w:b/>
          <w:bCs/>
          <w:sz w:val="24"/>
          <w:szCs w:val="24"/>
        </w:rPr>
        <w:t>、如何看待行业竞争环境变化带来的机会？</w:t>
      </w:r>
      <w:r>
        <w:rPr>
          <w:rFonts w:ascii="宋体" w:eastAsia="宋体" w:hAnsi="宋体"/>
          <w:b/>
          <w:bCs/>
          <w:sz w:val="24"/>
          <w:szCs w:val="24"/>
        </w:rPr>
        <w:t xml:space="preserve"> </w:t>
      </w:r>
    </w:p>
    <w:p w14:paraId="295C9811" w14:textId="41187AB5" w:rsidR="000B17DB" w:rsidRDefault="000F0352">
      <w:pPr>
        <w:adjustRightInd w:val="0"/>
        <w:snapToGrid w:val="0"/>
        <w:spacing w:beforeLines="50" w:before="156" w:afterLines="50" w:after="156" w:line="360" w:lineRule="auto"/>
        <w:ind w:firstLineChars="200" w:firstLine="482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答：</w:t>
      </w:r>
      <w:r>
        <w:rPr>
          <w:rFonts w:ascii="宋体" w:eastAsia="宋体" w:hAnsi="宋体" w:hint="eastAsia"/>
          <w:sz w:val="24"/>
          <w:szCs w:val="24"/>
        </w:rPr>
        <w:t>近年来，消费理性化、消费分层是客观现实。从历史经验来看，多数行业都会经历“需求萎缩→产能出清→头部集中”的发展逻辑。上游地产行业经历了持续的调整下行周期之后，下游地产</w:t>
      </w:r>
      <w:proofErr w:type="gramStart"/>
      <w:r>
        <w:rPr>
          <w:rFonts w:ascii="宋体" w:eastAsia="宋体" w:hAnsi="宋体" w:hint="eastAsia"/>
          <w:sz w:val="24"/>
          <w:szCs w:val="24"/>
        </w:rPr>
        <w:t>链缺乏</w:t>
      </w:r>
      <w:proofErr w:type="gramEnd"/>
      <w:r>
        <w:rPr>
          <w:rFonts w:ascii="宋体" w:eastAsia="宋体" w:hAnsi="宋体" w:hint="eastAsia"/>
          <w:sz w:val="24"/>
          <w:szCs w:val="24"/>
        </w:rPr>
        <w:t>竞争力的企业或逐步出清。家居行业企业数量众多，行业结构调整仍需一定时间。在此过程中，经营稳健、具备规</w:t>
      </w:r>
      <w:proofErr w:type="gramStart"/>
      <w:r>
        <w:rPr>
          <w:rFonts w:ascii="宋体" w:eastAsia="宋体" w:hAnsi="宋体" w:hint="eastAsia"/>
          <w:sz w:val="24"/>
          <w:szCs w:val="24"/>
        </w:rPr>
        <w:t>模与效率</w:t>
      </w:r>
      <w:proofErr w:type="gramEnd"/>
      <w:r>
        <w:rPr>
          <w:rFonts w:ascii="宋体" w:eastAsia="宋体" w:hAnsi="宋体" w:hint="eastAsia"/>
          <w:sz w:val="24"/>
          <w:szCs w:val="24"/>
        </w:rPr>
        <w:t>优势的头部企业有望获得更多结构性机会。公司将以稳健经营和效率提升为基础，争取在行业结构调整过程中保持并巩固相对市场份额。未来，公司将动态调整销售、产品策略，匹配当下消费者需求。业务、管理调整都建立在经营稳定安全的前提下，坚守欧</w:t>
      </w:r>
      <w:proofErr w:type="gramStart"/>
      <w:r>
        <w:rPr>
          <w:rFonts w:ascii="宋体" w:eastAsia="宋体" w:hAnsi="宋体" w:hint="eastAsia"/>
          <w:sz w:val="24"/>
          <w:szCs w:val="24"/>
        </w:rPr>
        <w:t>派主品牌</w:t>
      </w:r>
      <w:proofErr w:type="gramEnd"/>
      <w:r>
        <w:rPr>
          <w:rFonts w:ascii="宋体" w:eastAsia="宋体" w:hAnsi="宋体" w:hint="eastAsia"/>
          <w:sz w:val="24"/>
          <w:szCs w:val="24"/>
        </w:rPr>
        <w:t>定位底线。</w:t>
      </w:r>
    </w:p>
    <w:p w14:paraId="1B34F5F3" w14:textId="63284419" w:rsidR="000B17DB" w:rsidRDefault="000F0352">
      <w:pPr>
        <w:adjustRightInd w:val="0"/>
        <w:snapToGrid w:val="0"/>
        <w:spacing w:beforeLines="50" w:before="156" w:afterLines="50" w:after="156" w:line="360" w:lineRule="auto"/>
        <w:ind w:firstLineChars="200" w:firstLine="482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/>
          <w:b/>
          <w:bCs/>
          <w:sz w:val="24"/>
          <w:szCs w:val="24"/>
        </w:rPr>
        <w:t>6</w:t>
      </w:r>
      <w:r>
        <w:rPr>
          <w:rFonts w:ascii="宋体" w:eastAsia="宋体" w:hAnsi="宋体" w:hint="eastAsia"/>
          <w:b/>
          <w:bCs/>
          <w:sz w:val="24"/>
          <w:szCs w:val="24"/>
        </w:rPr>
        <w:t>、在行业的压力下，公司对于现金分红的规划是怎样的？</w:t>
      </w:r>
    </w:p>
    <w:p w14:paraId="02CA052B" w14:textId="70513A11" w:rsidR="000B17DB" w:rsidRPr="00A323C7" w:rsidRDefault="000F0352">
      <w:pPr>
        <w:adjustRightInd w:val="0"/>
        <w:snapToGrid w:val="0"/>
        <w:spacing w:beforeLines="50" w:before="156" w:afterLines="50" w:after="156" w:line="360" w:lineRule="auto"/>
        <w:ind w:firstLineChars="200" w:firstLine="482"/>
        <w:rPr>
          <w:rFonts w:ascii="Times New Roman" w:eastAsia="宋体" w:hAnsi="Times New Roman" w:cs="Times New Roman"/>
          <w:sz w:val="24"/>
          <w:szCs w:val="24"/>
        </w:rPr>
      </w:pPr>
      <w:r w:rsidRPr="00A323C7">
        <w:rPr>
          <w:rFonts w:ascii="Times New Roman" w:eastAsia="宋体" w:hAnsi="Times New Roman" w:cs="Times New Roman"/>
          <w:b/>
          <w:sz w:val="24"/>
          <w:szCs w:val="24"/>
        </w:rPr>
        <w:lastRenderedPageBreak/>
        <w:t>答：</w:t>
      </w:r>
      <w:r w:rsidRPr="00A323C7">
        <w:rPr>
          <w:rFonts w:ascii="Times New Roman" w:eastAsia="宋体" w:hAnsi="Times New Roman" w:cs="Times New Roman"/>
          <w:sz w:val="24"/>
          <w:szCs w:val="24"/>
        </w:rPr>
        <w:t>公司高度重视股东回报，具备持续分红的能力和意愿。今年以来，公司落地多项股东回报举措，一是变更</w:t>
      </w:r>
      <w:proofErr w:type="gramStart"/>
      <w:r w:rsidRPr="00A323C7">
        <w:rPr>
          <w:rFonts w:ascii="Times New Roman" w:eastAsia="宋体" w:hAnsi="Times New Roman" w:cs="Times New Roman"/>
          <w:sz w:val="24"/>
          <w:szCs w:val="24"/>
        </w:rPr>
        <w:t>存量回</w:t>
      </w:r>
      <w:proofErr w:type="gramEnd"/>
      <w:r w:rsidRPr="00A323C7">
        <w:rPr>
          <w:rFonts w:ascii="Times New Roman" w:eastAsia="宋体" w:hAnsi="Times New Roman" w:cs="Times New Roman"/>
          <w:sz w:val="24"/>
          <w:szCs w:val="24"/>
        </w:rPr>
        <w:t>购股份用途，完成</w:t>
      </w:r>
      <w:r w:rsidRPr="00A323C7">
        <w:rPr>
          <w:rFonts w:ascii="Times New Roman" w:eastAsia="宋体" w:hAnsi="Times New Roman" w:cs="Times New Roman"/>
          <w:sz w:val="24"/>
          <w:szCs w:val="24"/>
        </w:rPr>
        <w:t>2022</w:t>
      </w:r>
      <w:r w:rsidRPr="00A323C7">
        <w:rPr>
          <w:rFonts w:ascii="Times New Roman" w:eastAsia="宋体" w:hAnsi="Times New Roman" w:cs="Times New Roman"/>
          <w:sz w:val="24"/>
          <w:szCs w:val="24"/>
        </w:rPr>
        <w:t>年、</w:t>
      </w:r>
      <w:r w:rsidRPr="00A323C7">
        <w:rPr>
          <w:rFonts w:ascii="Times New Roman" w:eastAsia="宋体" w:hAnsi="Times New Roman" w:cs="Times New Roman"/>
          <w:sz w:val="24"/>
          <w:szCs w:val="24"/>
        </w:rPr>
        <w:t>2023</w:t>
      </w:r>
      <w:r w:rsidRPr="00A323C7">
        <w:rPr>
          <w:rFonts w:ascii="Times New Roman" w:eastAsia="宋体" w:hAnsi="Times New Roman" w:cs="Times New Roman"/>
          <w:sz w:val="24"/>
          <w:szCs w:val="24"/>
        </w:rPr>
        <w:t>年两次回购合计</w:t>
      </w:r>
      <w:r w:rsidRPr="00A323C7">
        <w:rPr>
          <w:rFonts w:ascii="Times New Roman" w:eastAsia="宋体" w:hAnsi="Times New Roman" w:cs="Times New Roman"/>
          <w:sz w:val="24"/>
          <w:szCs w:val="24"/>
        </w:rPr>
        <w:t>3,425,660</w:t>
      </w:r>
      <w:r w:rsidRPr="00A323C7">
        <w:rPr>
          <w:rFonts w:ascii="Times New Roman" w:eastAsia="宋体" w:hAnsi="Times New Roman" w:cs="Times New Roman"/>
          <w:sz w:val="24"/>
          <w:szCs w:val="24"/>
        </w:rPr>
        <w:t>股（对应回购金额</w:t>
      </w:r>
      <w:r w:rsidRPr="00A323C7">
        <w:rPr>
          <w:rFonts w:ascii="Times New Roman" w:eastAsia="宋体" w:hAnsi="Times New Roman" w:cs="Times New Roman"/>
          <w:sz w:val="24"/>
          <w:szCs w:val="24"/>
        </w:rPr>
        <w:t>3.29</w:t>
      </w:r>
      <w:r w:rsidRPr="00A323C7">
        <w:rPr>
          <w:rFonts w:ascii="Times New Roman" w:eastAsia="宋体" w:hAnsi="Times New Roman" w:cs="Times New Roman"/>
          <w:sz w:val="24"/>
          <w:szCs w:val="24"/>
        </w:rPr>
        <w:t>亿元）的注销工作；二是推出新的</w:t>
      </w:r>
      <w:r w:rsidRPr="00A323C7">
        <w:rPr>
          <w:rFonts w:ascii="Times New Roman" w:eastAsia="宋体" w:hAnsi="Times New Roman" w:cs="Times New Roman"/>
          <w:sz w:val="24"/>
          <w:szCs w:val="24"/>
        </w:rPr>
        <w:t>1</w:t>
      </w:r>
      <w:r w:rsidRPr="00A323C7">
        <w:rPr>
          <w:rFonts w:ascii="Times New Roman" w:eastAsia="宋体" w:hAnsi="Times New Roman" w:cs="Times New Roman"/>
          <w:sz w:val="24"/>
          <w:szCs w:val="24"/>
        </w:rPr>
        <w:t>亿</w:t>
      </w:r>
      <w:r w:rsidRPr="00A323C7">
        <w:rPr>
          <w:rFonts w:ascii="Times New Roman" w:eastAsia="宋体" w:hAnsi="Times New Roman" w:cs="Times New Roman"/>
          <w:sz w:val="24"/>
          <w:szCs w:val="24"/>
        </w:rPr>
        <w:t>—2</w:t>
      </w:r>
      <w:r w:rsidRPr="00A323C7">
        <w:rPr>
          <w:rFonts w:ascii="Times New Roman" w:eastAsia="宋体" w:hAnsi="Times New Roman" w:cs="Times New Roman"/>
          <w:sz w:val="24"/>
          <w:szCs w:val="24"/>
        </w:rPr>
        <w:t>亿回购计划，回购股份全部用于注销，多</w:t>
      </w:r>
      <w:proofErr w:type="gramStart"/>
      <w:r w:rsidRPr="00A323C7">
        <w:rPr>
          <w:rFonts w:ascii="Times New Roman" w:eastAsia="宋体" w:hAnsi="Times New Roman" w:cs="Times New Roman"/>
          <w:sz w:val="24"/>
          <w:szCs w:val="24"/>
        </w:rPr>
        <w:t>措</w:t>
      </w:r>
      <w:proofErr w:type="gramEnd"/>
      <w:r w:rsidRPr="00A323C7">
        <w:rPr>
          <w:rFonts w:ascii="Times New Roman" w:eastAsia="宋体" w:hAnsi="Times New Roman" w:cs="Times New Roman"/>
          <w:sz w:val="24"/>
          <w:szCs w:val="24"/>
        </w:rPr>
        <w:t>并举落实股东回报。同时，公司控股股东一致行动人基于对公司发展的信心，其增</w:t>
      </w:r>
      <w:proofErr w:type="gramStart"/>
      <w:r w:rsidRPr="00A323C7">
        <w:rPr>
          <w:rFonts w:ascii="Times New Roman" w:eastAsia="宋体" w:hAnsi="Times New Roman" w:cs="Times New Roman"/>
          <w:sz w:val="24"/>
          <w:szCs w:val="24"/>
        </w:rPr>
        <w:t>持计划</w:t>
      </w:r>
      <w:proofErr w:type="gramEnd"/>
      <w:r w:rsidRPr="00A323C7">
        <w:rPr>
          <w:rFonts w:ascii="Times New Roman" w:eastAsia="宋体" w:hAnsi="Times New Roman" w:cs="Times New Roman"/>
          <w:sz w:val="24"/>
          <w:szCs w:val="24"/>
        </w:rPr>
        <w:t>在今年也实施完毕。公司将继续按照《公司章程》的有关规定，统筹考虑经营业绩、现金流状况与中长期发展需要，制定利润分配方案。具体方案以董事会、股东会审议通过并披露的为准。</w:t>
      </w:r>
    </w:p>
    <w:p w14:paraId="78854CD9" w14:textId="77777777" w:rsidR="000B17DB" w:rsidRDefault="000F0352">
      <w:pPr>
        <w:adjustRightInd w:val="0"/>
        <w:snapToGrid w:val="0"/>
        <w:spacing w:beforeLines="50" w:before="156" w:afterLines="50" w:after="156" w:line="360" w:lineRule="auto"/>
        <w:ind w:firstLineChars="200" w:firstLine="482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/>
          <w:b/>
          <w:bCs/>
          <w:sz w:val="24"/>
          <w:szCs w:val="24"/>
        </w:rPr>
        <w:t>7</w:t>
      </w:r>
      <w:r>
        <w:rPr>
          <w:rFonts w:ascii="宋体" w:eastAsia="宋体" w:hAnsi="宋体" w:hint="eastAsia"/>
          <w:b/>
          <w:bCs/>
          <w:sz w:val="24"/>
          <w:szCs w:val="24"/>
        </w:rPr>
        <w:t>、市场总量承压，需求结构正在变化，请介绍今年观测到的需求结构趋势？</w:t>
      </w:r>
    </w:p>
    <w:p w14:paraId="450B8F2C" w14:textId="7B15B850" w:rsidR="000B17DB" w:rsidRDefault="000F0352">
      <w:pPr>
        <w:adjustRightInd w:val="0"/>
        <w:snapToGrid w:val="0"/>
        <w:spacing w:beforeLines="50" w:before="156" w:afterLines="50" w:after="156" w:line="360" w:lineRule="auto"/>
        <w:ind w:firstLineChars="200" w:firstLine="482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答：</w:t>
      </w:r>
      <w:r>
        <w:rPr>
          <w:rFonts w:ascii="宋体" w:eastAsia="宋体" w:hAnsi="宋体" w:hint="eastAsia"/>
          <w:sz w:val="24"/>
          <w:szCs w:val="24"/>
        </w:rPr>
        <w:t>从长周期看，存量（非新房）需求的基本盘持续扩大。根据住房和城乡建设部数据，今年1—9月，全国二手房交易</w:t>
      </w:r>
      <w:proofErr w:type="gramStart"/>
      <w:r>
        <w:rPr>
          <w:rFonts w:ascii="宋体" w:eastAsia="宋体" w:hAnsi="宋体" w:hint="eastAsia"/>
          <w:sz w:val="24"/>
          <w:szCs w:val="24"/>
        </w:rPr>
        <w:t>网签面积</w:t>
      </w:r>
      <w:proofErr w:type="gramEnd"/>
      <w:r>
        <w:rPr>
          <w:rFonts w:ascii="宋体" w:eastAsia="宋体" w:hAnsi="宋体" w:hint="eastAsia"/>
          <w:sz w:val="24"/>
          <w:szCs w:val="24"/>
        </w:rPr>
        <w:t>达6.17亿平方米，成交占比升至52.2%，交易规模超过新房。未来，新房供给量回落稳定后，预计二手房存量改造会逐步成为家装需求主要来源，但这个切换过渡不会在短期内完成，公司的业务调整，包括零售大家居、整装大家居、青</w:t>
      </w:r>
      <w:proofErr w:type="gramStart"/>
      <w:r>
        <w:rPr>
          <w:rFonts w:ascii="宋体" w:eastAsia="宋体" w:hAnsi="宋体" w:hint="eastAsia"/>
          <w:sz w:val="24"/>
          <w:szCs w:val="24"/>
        </w:rPr>
        <w:t>岚</w:t>
      </w:r>
      <w:proofErr w:type="gramEnd"/>
      <w:r>
        <w:rPr>
          <w:rFonts w:ascii="宋体" w:eastAsia="宋体" w:hAnsi="宋体" w:hint="eastAsia"/>
          <w:sz w:val="24"/>
          <w:szCs w:val="24"/>
        </w:rPr>
        <w:t xml:space="preserve">小筑等都是围绕向存量市场过渡而做的业务储备。 </w:t>
      </w:r>
    </w:p>
    <w:p w14:paraId="481EA2BD" w14:textId="494A132E" w:rsidR="000B17DB" w:rsidRDefault="000F0352">
      <w:pPr>
        <w:adjustRightInd w:val="0"/>
        <w:snapToGrid w:val="0"/>
        <w:spacing w:beforeLines="50" w:before="156" w:afterLines="50" w:after="156" w:line="360" w:lineRule="auto"/>
        <w:ind w:firstLineChars="200" w:firstLine="482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/>
          <w:b/>
          <w:bCs/>
          <w:sz w:val="24"/>
          <w:szCs w:val="24"/>
        </w:rPr>
        <w:t>8</w:t>
      </w:r>
      <w:r>
        <w:rPr>
          <w:rFonts w:ascii="宋体" w:eastAsia="宋体" w:hAnsi="宋体" w:hint="eastAsia"/>
          <w:b/>
          <w:bCs/>
          <w:sz w:val="24"/>
          <w:szCs w:val="24"/>
        </w:rPr>
        <w:t>、针对二手房更新、局部旧改</w:t>
      </w:r>
      <w:r w:rsidR="00A323C7">
        <w:rPr>
          <w:rFonts w:ascii="宋体" w:eastAsia="宋体" w:hAnsi="宋体" w:hint="eastAsia"/>
          <w:b/>
          <w:bCs/>
          <w:sz w:val="24"/>
          <w:szCs w:val="24"/>
        </w:rPr>
        <w:t>业务</w:t>
      </w:r>
      <w:r>
        <w:rPr>
          <w:rFonts w:ascii="宋体" w:eastAsia="宋体" w:hAnsi="宋体" w:hint="eastAsia"/>
          <w:b/>
          <w:bCs/>
          <w:sz w:val="24"/>
          <w:szCs w:val="24"/>
        </w:rPr>
        <w:t>，公司模式调整和业务创新的最新进展和效果</w:t>
      </w:r>
      <w:r w:rsidR="00A323C7">
        <w:rPr>
          <w:rFonts w:ascii="宋体" w:eastAsia="宋体" w:hAnsi="宋体" w:hint="eastAsia"/>
          <w:b/>
          <w:bCs/>
          <w:sz w:val="24"/>
          <w:szCs w:val="24"/>
        </w:rPr>
        <w:t>？</w:t>
      </w:r>
    </w:p>
    <w:p w14:paraId="0591DED7" w14:textId="0B4CD019" w:rsidR="000B17DB" w:rsidRDefault="000F0352">
      <w:pPr>
        <w:adjustRightInd w:val="0"/>
        <w:snapToGrid w:val="0"/>
        <w:spacing w:beforeLines="50" w:before="156" w:afterLines="50" w:after="156" w:line="360" w:lineRule="auto"/>
        <w:ind w:firstLineChars="200" w:firstLine="482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答：</w:t>
      </w:r>
      <w:r>
        <w:rPr>
          <w:rFonts w:ascii="宋体" w:eastAsia="宋体" w:hAnsi="宋体" w:hint="eastAsia"/>
          <w:sz w:val="24"/>
          <w:szCs w:val="24"/>
        </w:rPr>
        <w:t>一方面，旧改、</w:t>
      </w:r>
      <w:proofErr w:type="gramStart"/>
      <w:r>
        <w:rPr>
          <w:rFonts w:ascii="宋体" w:eastAsia="宋体" w:hAnsi="宋体" w:hint="eastAsia"/>
          <w:sz w:val="24"/>
          <w:szCs w:val="24"/>
        </w:rPr>
        <w:t>局改大多</w:t>
      </w:r>
      <w:proofErr w:type="gramEnd"/>
      <w:r>
        <w:rPr>
          <w:rFonts w:ascii="宋体" w:eastAsia="宋体" w:hAnsi="宋体" w:hint="eastAsia"/>
          <w:sz w:val="24"/>
          <w:szCs w:val="24"/>
        </w:rPr>
        <w:t>涉及装修施工，公司持续赋能经销商，提升经销商的装修参与能力；另一方面，公司落地多种新业务形态：青</w:t>
      </w:r>
      <w:proofErr w:type="gramStart"/>
      <w:r>
        <w:rPr>
          <w:rFonts w:ascii="宋体" w:eastAsia="宋体" w:hAnsi="宋体" w:hint="eastAsia"/>
          <w:sz w:val="24"/>
          <w:szCs w:val="24"/>
        </w:rPr>
        <w:t>岚</w:t>
      </w:r>
      <w:proofErr w:type="gramEnd"/>
      <w:r>
        <w:rPr>
          <w:rFonts w:ascii="宋体" w:eastAsia="宋体" w:hAnsi="宋体" w:hint="eastAsia"/>
          <w:sz w:val="24"/>
          <w:szCs w:val="24"/>
        </w:rPr>
        <w:t>小筑社区旧改门店、家装整装合作渠道拓展，分层销售网络布局等，强化从获客、转化到服务的全链条能力。</w:t>
      </w:r>
    </w:p>
    <w:p w14:paraId="6123BDA6" w14:textId="77777777" w:rsidR="000B17DB" w:rsidRDefault="000F0352">
      <w:pPr>
        <w:adjustRightInd w:val="0"/>
        <w:snapToGrid w:val="0"/>
        <w:spacing w:beforeLines="50" w:before="156" w:afterLines="50" w:after="156" w:line="360" w:lineRule="auto"/>
        <w:ind w:firstLineChars="200" w:firstLine="482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/>
          <w:b/>
          <w:bCs/>
          <w:sz w:val="24"/>
          <w:szCs w:val="24"/>
        </w:rPr>
        <w:t>9</w:t>
      </w:r>
      <w:r>
        <w:rPr>
          <w:rFonts w:ascii="宋体" w:eastAsia="宋体" w:hAnsi="宋体" w:hint="eastAsia"/>
          <w:b/>
          <w:bCs/>
          <w:sz w:val="24"/>
          <w:szCs w:val="24"/>
        </w:rPr>
        <w:t>、面向经销商向大家居转型，现在的帮扶模式对比过去有什么变化？</w:t>
      </w:r>
      <w:r>
        <w:rPr>
          <w:rFonts w:ascii="宋体" w:eastAsia="宋体" w:hAnsi="宋体"/>
          <w:b/>
          <w:bCs/>
          <w:sz w:val="24"/>
          <w:szCs w:val="24"/>
        </w:rPr>
        <w:t xml:space="preserve"> </w:t>
      </w:r>
    </w:p>
    <w:p w14:paraId="26FFEA81" w14:textId="0204FB28" w:rsidR="000B17DB" w:rsidRDefault="000F0352">
      <w:pPr>
        <w:adjustRightInd w:val="0"/>
        <w:snapToGrid w:val="0"/>
        <w:spacing w:beforeLines="50" w:before="156" w:afterLines="50" w:after="156" w:line="360" w:lineRule="auto"/>
        <w:ind w:firstLineChars="200" w:firstLine="482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答：</w:t>
      </w:r>
      <w:r>
        <w:rPr>
          <w:rFonts w:ascii="宋体" w:eastAsia="宋体" w:hAnsi="宋体" w:hint="eastAsia"/>
          <w:sz w:val="24"/>
          <w:szCs w:val="24"/>
        </w:rPr>
        <w:t>经过多年的大家居转型实践，公司内部也沉淀了较为丰富的大家居转型和管理经验。目前，公司开始参与部分典型城市的大家居业务，探索并沉淀出可复制的运营方法，形成可复制的赋能方案，供全国经销商借鉴。</w:t>
      </w:r>
    </w:p>
    <w:p w14:paraId="5843A805" w14:textId="77777777" w:rsidR="000B17DB" w:rsidRPr="00A323C7" w:rsidRDefault="000F0352" w:rsidP="00A323C7">
      <w:pPr>
        <w:adjustRightInd w:val="0"/>
        <w:snapToGrid w:val="0"/>
        <w:spacing w:beforeLines="50" w:before="156" w:afterLines="50" w:after="156" w:line="360" w:lineRule="auto"/>
        <w:rPr>
          <w:rFonts w:ascii="宋体" w:eastAsia="宋体" w:hAnsi="宋体"/>
          <w:b/>
          <w:sz w:val="24"/>
          <w:szCs w:val="24"/>
        </w:rPr>
      </w:pPr>
      <w:r w:rsidRPr="00A323C7">
        <w:rPr>
          <w:rFonts w:ascii="宋体" w:eastAsia="宋体" w:hAnsi="宋体" w:hint="eastAsia"/>
          <w:b/>
          <w:sz w:val="24"/>
          <w:szCs w:val="24"/>
        </w:rPr>
        <w:t>三、其他说明</w:t>
      </w:r>
    </w:p>
    <w:p w14:paraId="4FA27DEB" w14:textId="4307C4FD" w:rsidR="000B17DB" w:rsidRDefault="000F0352" w:rsidP="00A323C7">
      <w:pPr>
        <w:adjustRightInd w:val="0"/>
        <w:snapToGrid w:val="0"/>
        <w:spacing w:beforeLines="50" w:before="156" w:afterLines="50" w:after="156"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本次交流活动未涉及公司应披露而未披露的重大信息。本纪要所载内容不构成公司对投资者的业绩承诺，敬请广大投资者注意投资风险。</w:t>
      </w:r>
    </w:p>
    <w:sectPr w:rsidR="000B17DB">
      <w:pgSz w:w="11906" w:h="16838"/>
      <w:pgMar w:top="1134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Y5ZWE1ZDZhYmM1NDA3YTY1YjhkNTY4YjNhMTViNjIifQ=="/>
  </w:docVars>
  <w:rsids>
    <w:rsidRoot w:val="002C547D"/>
    <w:rsid w:val="000018CD"/>
    <w:rsid w:val="00011E19"/>
    <w:rsid w:val="00016828"/>
    <w:rsid w:val="000327A4"/>
    <w:rsid w:val="00036279"/>
    <w:rsid w:val="0003723A"/>
    <w:rsid w:val="00043BAA"/>
    <w:rsid w:val="00044F9B"/>
    <w:rsid w:val="000546F8"/>
    <w:rsid w:val="00056266"/>
    <w:rsid w:val="000703C6"/>
    <w:rsid w:val="0008031F"/>
    <w:rsid w:val="000803EF"/>
    <w:rsid w:val="00084618"/>
    <w:rsid w:val="000855C4"/>
    <w:rsid w:val="0008656C"/>
    <w:rsid w:val="00087EA0"/>
    <w:rsid w:val="000A2460"/>
    <w:rsid w:val="000B17DB"/>
    <w:rsid w:val="000C0563"/>
    <w:rsid w:val="000C37F1"/>
    <w:rsid w:val="000D0C14"/>
    <w:rsid w:val="000D1BFD"/>
    <w:rsid w:val="000E39C0"/>
    <w:rsid w:val="000F0352"/>
    <w:rsid w:val="000F3202"/>
    <w:rsid w:val="000F7F72"/>
    <w:rsid w:val="001202C4"/>
    <w:rsid w:val="0012258C"/>
    <w:rsid w:val="00130A70"/>
    <w:rsid w:val="001400DF"/>
    <w:rsid w:val="001428DE"/>
    <w:rsid w:val="00145F8A"/>
    <w:rsid w:val="00160CC0"/>
    <w:rsid w:val="00167F4E"/>
    <w:rsid w:val="00172B6C"/>
    <w:rsid w:val="00180563"/>
    <w:rsid w:val="00180A10"/>
    <w:rsid w:val="0019476E"/>
    <w:rsid w:val="001B235A"/>
    <w:rsid w:val="001B2FF5"/>
    <w:rsid w:val="001B5D72"/>
    <w:rsid w:val="001B6187"/>
    <w:rsid w:val="001C5FBF"/>
    <w:rsid w:val="001E3213"/>
    <w:rsid w:val="001F1E19"/>
    <w:rsid w:val="001F2D9B"/>
    <w:rsid w:val="00200F1B"/>
    <w:rsid w:val="002070BD"/>
    <w:rsid w:val="002123FB"/>
    <w:rsid w:val="00212F5D"/>
    <w:rsid w:val="002255B5"/>
    <w:rsid w:val="00227F0D"/>
    <w:rsid w:val="0024078A"/>
    <w:rsid w:val="00252006"/>
    <w:rsid w:val="002655AF"/>
    <w:rsid w:val="00266B21"/>
    <w:rsid w:val="00271BE7"/>
    <w:rsid w:val="002723E8"/>
    <w:rsid w:val="00287414"/>
    <w:rsid w:val="00290CD3"/>
    <w:rsid w:val="002A0C02"/>
    <w:rsid w:val="002A3C72"/>
    <w:rsid w:val="002C547D"/>
    <w:rsid w:val="002C5FC1"/>
    <w:rsid w:val="002E26D9"/>
    <w:rsid w:val="002E39E1"/>
    <w:rsid w:val="00304574"/>
    <w:rsid w:val="0031155E"/>
    <w:rsid w:val="00311682"/>
    <w:rsid w:val="0031634F"/>
    <w:rsid w:val="00322358"/>
    <w:rsid w:val="00324B80"/>
    <w:rsid w:val="00337D57"/>
    <w:rsid w:val="003636BB"/>
    <w:rsid w:val="003743D7"/>
    <w:rsid w:val="00376506"/>
    <w:rsid w:val="00383814"/>
    <w:rsid w:val="00391607"/>
    <w:rsid w:val="00391F1F"/>
    <w:rsid w:val="00395458"/>
    <w:rsid w:val="003A1DBF"/>
    <w:rsid w:val="003A2025"/>
    <w:rsid w:val="003A5AD7"/>
    <w:rsid w:val="003B6C7D"/>
    <w:rsid w:val="003C247D"/>
    <w:rsid w:val="003C4C13"/>
    <w:rsid w:val="003C6138"/>
    <w:rsid w:val="003D4FD1"/>
    <w:rsid w:val="003E0BF9"/>
    <w:rsid w:val="003E366B"/>
    <w:rsid w:val="003F0A8E"/>
    <w:rsid w:val="003F3778"/>
    <w:rsid w:val="00402363"/>
    <w:rsid w:val="0041462F"/>
    <w:rsid w:val="00414BEE"/>
    <w:rsid w:val="00416BCF"/>
    <w:rsid w:val="004227CE"/>
    <w:rsid w:val="004242C3"/>
    <w:rsid w:val="00430BCC"/>
    <w:rsid w:val="00436C2D"/>
    <w:rsid w:val="00441885"/>
    <w:rsid w:val="00454A97"/>
    <w:rsid w:val="004612E8"/>
    <w:rsid w:val="0048464E"/>
    <w:rsid w:val="00485FC3"/>
    <w:rsid w:val="00487C12"/>
    <w:rsid w:val="004A4E86"/>
    <w:rsid w:val="004B1F55"/>
    <w:rsid w:val="004C0174"/>
    <w:rsid w:val="004D2E68"/>
    <w:rsid w:val="004E38C4"/>
    <w:rsid w:val="004F133D"/>
    <w:rsid w:val="00501E93"/>
    <w:rsid w:val="00515246"/>
    <w:rsid w:val="005167FF"/>
    <w:rsid w:val="005215D4"/>
    <w:rsid w:val="00567EB8"/>
    <w:rsid w:val="005702FA"/>
    <w:rsid w:val="00577BB3"/>
    <w:rsid w:val="005807F8"/>
    <w:rsid w:val="00580D96"/>
    <w:rsid w:val="005A1A0C"/>
    <w:rsid w:val="005B18EC"/>
    <w:rsid w:val="005B1B92"/>
    <w:rsid w:val="005B2FDD"/>
    <w:rsid w:val="005B46CF"/>
    <w:rsid w:val="005B694E"/>
    <w:rsid w:val="005C6903"/>
    <w:rsid w:val="005C6E67"/>
    <w:rsid w:val="005C77AF"/>
    <w:rsid w:val="005D3E0F"/>
    <w:rsid w:val="005D4666"/>
    <w:rsid w:val="005E0E51"/>
    <w:rsid w:val="005E1BD1"/>
    <w:rsid w:val="005F300B"/>
    <w:rsid w:val="005F47C3"/>
    <w:rsid w:val="006365C2"/>
    <w:rsid w:val="00641C32"/>
    <w:rsid w:val="00641DFA"/>
    <w:rsid w:val="00643EAA"/>
    <w:rsid w:val="00652EB9"/>
    <w:rsid w:val="00661B25"/>
    <w:rsid w:val="0066760A"/>
    <w:rsid w:val="00673098"/>
    <w:rsid w:val="00683B95"/>
    <w:rsid w:val="00690B30"/>
    <w:rsid w:val="006916A6"/>
    <w:rsid w:val="00695909"/>
    <w:rsid w:val="006D50BE"/>
    <w:rsid w:val="006D5652"/>
    <w:rsid w:val="006E2C7D"/>
    <w:rsid w:val="006E4281"/>
    <w:rsid w:val="006E6100"/>
    <w:rsid w:val="006E6AF8"/>
    <w:rsid w:val="006F0BAA"/>
    <w:rsid w:val="006F2C93"/>
    <w:rsid w:val="00706192"/>
    <w:rsid w:val="007079BF"/>
    <w:rsid w:val="00732495"/>
    <w:rsid w:val="00760BBE"/>
    <w:rsid w:val="00762B6B"/>
    <w:rsid w:val="007713F0"/>
    <w:rsid w:val="007875D6"/>
    <w:rsid w:val="00792834"/>
    <w:rsid w:val="00792C4A"/>
    <w:rsid w:val="007953D8"/>
    <w:rsid w:val="00797546"/>
    <w:rsid w:val="007B7333"/>
    <w:rsid w:val="007B7EA5"/>
    <w:rsid w:val="007C0B73"/>
    <w:rsid w:val="007C46EE"/>
    <w:rsid w:val="007C5FBC"/>
    <w:rsid w:val="007D14DD"/>
    <w:rsid w:val="007D3570"/>
    <w:rsid w:val="007E13C4"/>
    <w:rsid w:val="007E1907"/>
    <w:rsid w:val="007E6A59"/>
    <w:rsid w:val="007F11D2"/>
    <w:rsid w:val="008033DF"/>
    <w:rsid w:val="00837FDF"/>
    <w:rsid w:val="00840B68"/>
    <w:rsid w:val="00850395"/>
    <w:rsid w:val="008514E0"/>
    <w:rsid w:val="008660E7"/>
    <w:rsid w:val="00873646"/>
    <w:rsid w:val="00884DA6"/>
    <w:rsid w:val="0089336F"/>
    <w:rsid w:val="00894E1A"/>
    <w:rsid w:val="008C1ADD"/>
    <w:rsid w:val="008C40DB"/>
    <w:rsid w:val="008D395B"/>
    <w:rsid w:val="008E7BC3"/>
    <w:rsid w:val="008F7F0F"/>
    <w:rsid w:val="00913BEA"/>
    <w:rsid w:val="00923CB8"/>
    <w:rsid w:val="00923D5D"/>
    <w:rsid w:val="00946640"/>
    <w:rsid w:val="00952E00"/>
    <w:rsid w:val="00953A73"/>
    <w:rsid w:val="00957294"/>
    <w:rsid w:val="00971881"/>
    <w:rsid w:val="009744FD"/>
    <w:rsid w:val="009853C7"/>
    <w:rsid w:val="009C2E69"/>
    <w:rsid w:val="009C555E"/>
    <w:rsid w:val="009D037F"/>
    <w:rsid w:val="009D045A"/>
    <w:rsid w:val="009D78C6"/>
    <w:rsid w:val="00A01333"/>
    <w:rsid w:val="00A10E7A"/>
    <w:rsid w:val="00A164DF"/>
    <w:rsid w:val="00A1798B"/>
    <w:rsid w:val="00A323C7"/>
    <w:rsid w:val="00A33A48"/>
    <w:rsid w:val="00A3507E"/>
    <w:rsid w:val="00A40620"/>
    <w:rsid w:val="00A61BDD"/>
    <w:rsid w:val="00A81D8A"/>
    <w:rsid w:val="00A81DE2"/>
    <w:rsid w:val="00A92E4F"/>
    <w:rsid w:val="00A95845"/>
    <w:rsid w:val="00AA3753"/>
    <w:rsid w:val="00AA7FDE"/>
    <w:rsid w:val="00AB0119"/>
    <w:rsid w:val="00AB4DBE"/>
    <w:rsid w:val="00AB5DD1"/>
    <w:rsid w:val="00AB6802"/>
    <w:rsid w:val="00AC067E"/>
    <w:rsid w:val="00AC250F"/>
    <w:rsid w:val="00AD12B3"/>
    <w:rsid w:val="00AE1CEC"/>
    <w:rsid w:val="00AE711C"/>
    <w:rsid w:val="00AE7246"/>
    <w:rsid w:val="00B26B70"/>
    <w:rsid w:val="00B357F2"/>
    <w:rsid w:val="00B43E30"/>
    <w:rsid w:val="00B52687"/>
    <w:rsid w:val="00B55967"/>
    <w:rsid w:val="00B55997"/>
    <w:rsid w:val="00B55B99"/>
    <w:rsid w:val="00B569B4"/>
    <w:rsid w:val="00B56ED6"/>
    <w:rsid w:val="00B7150E"/>
    <w:rsid w:val="00B77431"/>
    <w:rsid w:val="00B77C62"/>
    <w:rsid w:val="00B8162D"/>
    <w:rsid w:val="00B86374"/>
    <w:rsid w:val="00B8651F"/>
    <w:rsid w:val="00B87357"/>
    <w:rsid w:val="00B907EE"/>
    <w:rsid w:val="00B9754D"/>
    <w:rsid w:val="00BA0E54"/>
    <w:rsid w:val="00BA1FF5"/>
    <w:rsid w:val="00BA28A3"/>
    <w:rsid w:val="00BA7901"/>
    <w:rsid w:val="00BB3E01"/>
    <w:rsid w:val="00BB6C48"/>
    <w:rsid w:val="00BC0283"/>
    <w:rsid w:val="00BC3FA5"/>
    <w:rsid w:val="00BD660E"/>
    <w:rsid w:val="00BE26AE"/>
    <w:rsid w:val="00C0102C"/>
    <w:rsid w:val="00C039B5"/>
    <w:rsid w:val="00C10238"/>
    <w:rsid w:val="00C15171"/>
    <w:rsid w:val="00C16D71"/>
    <w:rsid w:val="00C2163D"/>
    <w:rsid w:val="00C22777"/>
    <w:rsid w:val="00C25696"/>
    <w:rsid w:val="00C4103A"/>
    <w:rsid w:val="00C4428F"/>
    <w:rsid w:val="00C472B5"/>
    <w:rsid w:val="00C55B6A"/>
    <w:rsid w:val="00C61CC1"/>
    <w:rsid w:val="00C7208A"/>
    <w:rsid w:val="00C73730"/>
    <w:rsid w:val="00C8035A"/>
    <w:rsid w:val="00C82DF3"/>
    <w:rsid w:val="00C975ED"/>
    <w:rsid w:val="00CA55B6"/>
    <w:rsid w:val="00CC0A63"/>
    <w:rsid w:val="00CC278D"/>
    <w:rsid w:val="00CC5D21"/>
    <w:rsid w:val="00CC766E"/>
    <w:rsid w:val="00CE0699"/>
    <w:rsid w:val="00CF1B4B"/>
    <w:rsid w:val="00CF540C"/>
    <w:rsid w:val="00D00968"/>
    <w:rsid w:val="00D12F02"/>
    <w:rsid w:val="00D162DB"/>
    <w:rsid w:val="00D16538"/>
    <w:rsid w:val="00D277B7"/>
    <w:rsid w:val="00D27A01"/>
    <w:rsid w:val="00D408B4"/>
    <w:rsid w:val="00D44983"/>
    <w:rsid w:val="00D45200"/>
    <w:rsid w:val="00D61E22"/>
    <w:rsid w:val="00D627E0"/>
    <w:rsid w:val="00D67350"/>
    <w:rsid w:val="00D678F2"/>
    <w:rsid w:val="00D710DA"/>
    <w:rsid w:val="00D95ECD"/>
    <w:rsid w:val="00DA761E"/>
    <w:rsid w:val="00DB35B9"/>
    <w:rsid w:val="00DC29BD"/>
    <w:rsid w:val="00DE4477"/>
    <w:rsid w:val="00DF6AB1"/>
    <w:rsid w:val="00E049FE"/>
    <w:rsid w:val="00E21F1C"/>
    <w:rsid w:val="00E242DC"/>
    <w:rsid w:val="00E30222"/>
    <w:rsid w:val="00E310A4"/>
    <w:rsid w:val="00E3163B"/>
    <w:rsid w:val="00E3168A"/>
    <w:rsid w:val="00E323EA"/>
    <w:rsid w:val="00E405EA"/>
    <w:rsid w:val="00E41CA4"/>
    <w:rsid w:val="00E438D2"/>
    <w:rsid w:val="00E443DB"/>
    <w:rsid w:val="00E52986"/>
    <w:rsid w:val="00E72AA6"/>
    <w:rsid w:val="00E83CBF"/>
    <w:rsid w:val="00E9559F"/>
    <w:rsid w:val="00EA0ABE"/>
    <w:rsid w:val="00EA2594"/>
    <w:rsid w:val="00EB31B1"/>
    <w:rsid w:val="00EB6A99"/>
    <w:rsid w:val="00EB6B22"/>
    <w:rsid w:val="00EB6B23"/>
    <w:rsid w:val="00EC2DF5"/>
    <w:rsid w:val="00ED04C3"/>
    <w:rsid w:val="00EE209F"/>
    <w:rsid w:val="00EE2F05"/>
    <w:rsid w:val="00F03492"/>
    <w:rsid w:val="00F04CF1"/>
    <w:rsid w:val="00F07137"/>
    <w:rsid w:val="00F119DC"/>
    <w:rsid w:val="00F11AAF"/>
    <w:rsid w:val="00F23480"/>
    <w:rsid w:val="00F26390"/>
    <w:rsid w:val="00F44926"/>
    <w:rsid w:val="00F51101"/>
    <w:rsid w:val="00F52E57"/>
    <w:rsid w:val="00F5709D"/>
    <w:rsid w:val="00F57A35"/>
    <w:rsid w:val="00F75219"/>
    <w:rsid w:val="00F8252F"/>
    <w:rsid w:val="00F92F38"/>
    <w:rsid w:val="00F9456C"/>
    <w:rsid w:val="00F94897"/>
    <w:rsid w:val="00FB3C2B"/>
    <w:rsid w:val="00FB4AAB"/>
    <w:rsid w:val="00FB5FB5"/>
    <w:rsid w:val="00FE7677"/>
    <w:rsid w:val="00FF7D25"/>
    <w:rsid w:val="04DD3F64"/>
    <w:rsid w:val="06BB0AD8"/>
    <w:rsid w:val="084A5DB4"/>
    <w:rsid w:val="096D1D5A"/>
    <w:rsid w:val="0CC815DF"/>
    <w:rsid w:val="0D3A060A"/>
    <w:rsid w:val="0E6B61C9"/>
    <w:rsid w:val="0EEC41CC"/>
    <w:rsid w:val="129B16E6"/>
    <w:rsid w:val="131147E0"/>
    <w:rsid w:val="13554FAD"/>
    <w:rsid w:val="16AD3796"/>
    <w:rsid w:val="17AF353E"/>
    <w:rsid w:val="195264FF"/>
    <w:rsid w:val="19DD358D"/>
    <w:rsid w:val="1A4E44C3"/>
    <w:rsid w:val="1B041EC8"/>
    <w:rsid w:val="1BB13295"/>
    <w:rsid w:val="211344CB"/>
    <w:rsid w:val="21515666"/>
    <w:rsid w:val="23FF7A41"/>
    <w:rsid w:val="245B6D34"/>
    <w:rsid w:val="24F164AA"/>
    <w:rsid w:val="28B23128"/>
    <w:rsid w:val="299B5208"/>
    <w:rsid w:val="2AA543EA"/>
    <w:rsid w:val="2AC8705A"/>
    <w:rsid w:val="2AFF2ECE"/>
    <w:rsid w:val="2C5F241A"/>
    <w:rsid w:val="2E6D698B"/>
    <w:rsid w:val="30EF4A63"/>
    <w:rsid w:val="31056E93"/>
    <w:rsid w:val="314C3B0E"/>
    <w:rsid w:val="33134A9D"/>
    <w:rsid w:val="35CF32D1"/>
    <w:rsid w:val="3B861EE2"/>
    <w:rsid w:val="3C8972A1"/>
    <w:rsid w:val="3F23643C"/>
    <w:rsid w:val="41224842"/>
    <w:rsid w:val="41C870A5"/>
    <w:rsid w:val="42E11524"/>
    <w:rsid w:val="45B56D09"/>
    <w:rsid w:val="47A06854"/>
    <w:rsid w:val="47FC2970"/>
    <w:rsid w:val="4A161573"/>
    <w:rsid w:val="4A595408"/>
    <w:rsid w:val="4CE90CC5"/>
    <w:rsid w:val="4F5A7C58"/>
    <w:rsid w:val="50715259"/>
    <w:rsid w:val="52DF7B50"/>
    <w:rsid w:val="55652CC8"/>
    <w:rsid w:val="58CB127E"/>
    <w:rsid w:val="5D8F1A48"/>
    <w:rsid w:val="5DEA664B"/>
    <w:rsid w:val="626A0316"/>
    <w:rsid w:val="62C31218"/>
    <w:rsid w:val="63A03F11"/>
    <w:rsid w:val="67BD7BB7"/>
    <w:rsid w:val="697D2A7E"/>
    <w:rsid w:val="6B50602E"/>
    <w:rsid w:val="6BBB33D4"/>
    <w:rsid w:val="70AA623E"/>
    <w:rsid w:val="722F76C6"/>
    <w:rsid w:val="72FD1CE8"/>
    <w:rsid w:val="73927111"/>
    <w:rsid w:val="7423565D"/>
    <w:rsid w:val="7F8F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531DBF"/>
  <w15:docId w15:val="{9CB22359-0DE6-41C4-AE7A-6A0836308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table" w:customStyle="1" w:styleId="g11">
    <w:name w:val="g1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批注文字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d">
    <w:name w:val="批注主题 字符"/>
    <w:basedOn w:val="a4"/>
    <w:link w:val="ac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2202</Words>
  <Characters>78</Characters>
  <Application>Microsoft Office Word</Application>
  <DocSecurity>0</DocSecurity>
  <Lines>1</Lines>
  <Paragraphs>4</Paragraphs>
  <ScaleCrop>false</ScaleCrop>
  <Company>op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朱文进</dc:creator>
  <cp:lastModifiedBy>朱文进</cp:lastModifiedBy>
  <cp:revision>2</cp:revision>
  <cp:lastPrinted>2026-11-06T07:34:00Z</cp:lastPrinted>
  <dcterms:created xsi:type="dcterms:W3CDTF">2023-03-14T05:54:00Z</dcterms:created>
  <dcterms:modified xsi:type="dcterms:W3CDTF">2026-11-06T07:34:00Z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D_Is_Protection">
    <vt:lpwstr>0</vt:lpwstr>
  </property>
  <property fmtid="{D5CDD505-2E9C-101B-9397-08002B2CF9AE}" pid="3" name="BDCONTENTCONTROL_AUTO_SAVE_SubTitle">
    <vt:lpwstr/>
  </property>
  <property fmtid="{D5CDD505-2E9C-101B-9397-08002B2CF9AE}" pid="4" name="KSOProductBuildVer">
    <vt:lpwstr>2052-12.1.0.29161</vt:lpwstr>
  </property>
  <property fmtid="{D5CDD505-2E9C-101B-9397-08002B2CF9AE}" pid="5" name="ICV">
    <vt:lpwstr>4E6AA1BA7EF5412BBB020BA7F94B15C5_13</vt:lpwstr>
  </property>
  <property fmtid="{D5CDD505-2E9C-101B-9397-08002B2CF9AE}" pid="6" name="KSOTemplateDocerSaveRecord">
    <vt:lpwstr>eyJoZGlkIjoiODdlZGI0NWQzMDhhYmJkMjU4ZWMxYThmOTE2MmQzMzUiLCJ1c2VySWQiOiIzNjMwMjE4NzEifQ==</vt:lpwstr>
  </property>
</Properties>
</file>