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59476">
      <w:pPr>
        <w:spacing w:line="360" w:lineRule="auto"/>
        <w:jc w:val="center"/>
        <w:rPr>
          <w:rFonts w:ascii="Times New Roman" w:hAnsi="Times New Roman" w:cs="Times New Roman"/>
          <w:sz w:val="24"/>
          <w:szCs w:val="24"/>
        </w:rPr>
      </w:pPr>
      <w:r>
        <w:rPr>
          <w:rFonts w:ascii="Times New Roman" w:hAnsi="Times New Roman" w:cs="Times New Roman"/>
          <w:sz w:val="24"/>
          <w:szCs w:val="24"/>
        </w:rPr>
        <w:t>证券代码：603530                                 证券简称：神马电力</w:t>
      </w:r>
    </w:p>
    <w:p w14:paraId="39A4B1C0">
      <w:pPr>
        <w:spacing w:line="360" w:lineRule="auto"/>
        <w:rPr>
          <w:rFonts w:ascii="Arial" w:hAnsi="Arial" w:cs="Arial"/>
          <w:sz w:val="24"/>
          <w:szCs w:val="24"/>
        </w:rPr>
      </w:pPr>
    </w:p>
    <w:p w14:paraId="198A1CB9">
      <w:pPr>
        <w:spacing w:line="360" w:lineRule="auto"/>
        <w:jc w:val="center"/>
        <w:rPr>
          <w:rFonts w:ascii="Arial" w:hAnsi="Arial" w:eastAsia="黑体" w:cs="Arial"/>
          <w:b/>
          <w:sz w:val="32"/>
          <w:szCs w:val="32"/>
        </w:rPr>
      </w:pPr>
      <w:r>
        <w:rPr>
          <w:rFonts w:ascii="Arial" w:hAnsi="Arial" w:eastAsia="黑体" w:cs="Arial"/>
          <w:b/>
          <w:sz w:val="32"/>
          <w:szCs w:val="32"/>
        </w:rPr>
        <w:t>江苏神马电力股份有限公司</w:t>
      </w:r>
    </w:p>
    <w:p w14:paraId="3B6C03B3">
      <w:pPr>
        <w:spacing w:line="360" w:lineRule="auto"/>
        <w:jc w:val="center"/>
        <w:rPr>
          <w:rFonts w:ascii="Arial" w:hAnsi="Arial" w:eastAsia="黑体" w:cs="Arial"/>
          <w:b/>
          <w:sz w:val="32"/>
          <w:szCs w:val="32"/>
        </w:rPr>
      </w:pPr>
      <w:r>
        <w:rPr>
          <w:rFonts w:hint="eastAsia" w:ascii="Arial" w:hAnsi="Arial" w:eastAsia="黑体" w:cs="Arial"/>
          <w:b/>
          <w:sz w:val="32"/>
          <w:szCs w:val="32"/>
        </w:rPr>
        <w:t>投资者关系活动记录表</w:t>
      </w:r>
    </w:p>
    <w:p w14:paraId="5DE871E2">
      <w:pPr>
        <w:spacing w:line="360" w:lineRule="auto"/>
        <w:jc w:val="right"/>
        <w:rPr>
          <w:rFonts w:ascii="Arial" w:hAnsi="Arial" w:eastAsia="黑体" w:cs="Arial"/>
          <w:b/>
          <w:color w:val="FF0000"/>
          <w:sz w:val="32"/>
          <w:szCs w:val="32"/>
        </w:rPr>
      </w:pPr>
      <w:r>
        <w:rPr>
          <w:rFonts w:ascii="Times New Roman" w:hAnsi="Times New Roman" w:cs="Times New Roman"/>
          <w:sz w:val="24"/>
          <w:szCs w:val="24"/>
        </w:rPr>
        <w:t>编号：20</w:t>
      </w:r>
      <w:r>
        <w:rPr>
          <w:rFonts w:hint="eastAsia" w:ascii="Times New Roman" w:hAnsi="Times New Roman" w:cs="Times New Roman"/>
          <w:sz w:val="24"/>
          <w:szCs w:val="24"/>
        </w:rPr>
        <w:t>2</w:t>
      </w:r>
      <w:r>
        <w:rPr>
          <w:rFonts w:ascii="Times New Roman" w:hAnsi="Times New Roman" w:cs="Times New Roman"/>
          <w:sz w:val="24"/>
          <w:szCs w:val="24"/>
        </w:rPr>
        <w:t>6-0</w:t>
      </w:r>
      <w:r>
        <w:rPr>
          <w:rFonts w:hint="eastAsia" w:ascii="Times New Roman" w:hAnsi="Times New Roman" w:cs="Times New Roman"/>
          <w:sz w:val="24"/>
          <w:szCs w:val="24"/>
        </w:rPr>
        <w:t>21</w:t>
      </w:r>
    </w:p>
    <w:tbl>
      <w:tblPr>
        <w:tblStyle w:val="9"/>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6237"/>
      </w:tblGrid>
      <w:tr w14:paraId="31C5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215A647E">
            <w:pPr>
              <w:adjustRightInd w:val="0"/>
              <w:snapToGrid w:val="0"/>
              <w:rPr>
                <w:rFonts w:hint="eastAsia" w:ascii="宋体" w:hAnsi="宋体" w:cs="Arial"/>
                <w:sz w:val="24"/>
                <w:szCs w:val="24"/>
              </w:rPr>
            </w:pPr>
            <w:bookmarkStart w:id="0" w:name="OLE_LINK2"/>
            <w:bookmarkStart w:id="1" w:name="OLE_LINK1"/>
            <w:r>
              <w:rPr>
                <w:rFonts w:hint="eastAsia" w:ascii="宋体" w:hAnsi="宋体" w:cs="Arial"/>
                <w:sz w:val="24"/>
                <w:szCs w:val="24"/>
              </w:rPr>
              <w:t>投资者关系活动类别</w:t>
            </w:r>
          </w:p>
        </w:tc>
        <w:tc>
          <w:tcPr>
            <w:tcW w:w="6237" w:type="dxa"/>
            <w:vAlign w:val="center"/>
          </w:tcPr>
          <w:p w14:paraId="24F668B2">
            <w:pPr>
              <w:adjustRightInd w:val="0"/>
              <w:snapToGrid w:val="0"/>
              <w:rPr>
                <w:rFonts w:hint="eastAsia" w:ascii="宋体" w:hAnsi="宋体" w:cs="Arial"/>
                <w:sz w:val="24"/>
                <w:szCs w:val="24"/>
              </w:rPr>
            </w:pPr>
            <w:r>
              <w:rPr>
                <w:rFonts w:hint="eastAsia" w:ascii="宋体" w:hAnsi="宋体" w:cs="Arial"/>
                <w:sz w:val="24"/>
                <w:szCs w:val="24"/>
              </w:rPr>
              <w:t>特定对象调研、机构策略</w:t>
            </w:r>
            <w:r>
              <w:rPr>
                <w:rFonts w:ascii="Times New Roman" w:hAnsi="Times New Roman" w:cs="Times New Roman"/>
                <w:sz w:val="24"/>
                <w:szCs w:val="24"/>
              </w:rPr>
              <w:t>会、2026年第三</w:t>
            </w:r>
            <w:r>
              <w:rPr>
                <w:rFonts w:hint="eastAsia" w:ascii="宋体" w:hAnsi="宋体" w:cs="Arial"/>
                <w:sz w:val="24"/>
                <w:szCs w:val="24"/>
              </w:rPr>
              <w:t>季度业绩说明会</w:t>
            </w:r>
          </w:p>
        </w:tc>
      </w:tr>
      <w:tr w14:paraId="281E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7BA23A8B">
            <w:pPr>
              <w:adjustRightInd w:val="0"/>
              <w:snapToGrid w:val="0"/>
              <w:rPr>
                <w:rFonts w:ascii="Times New Roman" w:hAnsi="Times New Roman" w:cs="Times New Roman"/>
                <w:sz w:val="24"/>
                <w:szCs w:val="24"/>
              </w:rPr>
            </w:pPr>
            <w:r>
              <w:rPr>
                <w:rFonts w:ascii="Times New Roman" w:hAnsi="Times New Roman" w:cs="Times New Roman"/>
                <w:sz w:val="24"/>
                <w:szCs w:val="24"/>
              </w:rPr>
              <w:t>时间</w:t>
            </w:r>
          </w:p>
        </w:tc>
        <w:tc>
          <w:tcPr>
            <w:tcW w:w="6237" w:type="dxa"/>
            <w:vAlign w:val="center"/>
          </w:tcPr>
          <w:p w14:paraId="1D968DCE">
            <w:pPr>
              <w:adjustRightInd w:val="0"/>
              <w:snapToGrid w:val="0"/>
              <w:rPr>
                <w:rFonts w:ascii="Times New Roman" w:hAnsi="Times New Roman" w:cs="Times New Roman"/>
                <w:sz w:val="24"/>
                <w:szCs w:val="24"/>
              </w:rPr>
            </w:pPr>
            <w:r>
              <w:rPr>
                <w:rFonts w:ascii="Times New Roman" w:hAnsi="Times New Roman" w:cs="Times New Roman"/>
                <w:sz w:val="24"/>
                <w:szCs w:val="24"/>
              </w:rPr>
              <w:t>2026年</w:t>
            </w:r>
            <w:r>
              <w:rPr>
                <w:rFonts w:hint="eastAsia" w:ascii="Times New Roman" w:hAnsi="Times New Roman" w:cs="Times New Roman"/>
                <w:sz w:val="24"/>
                <w:szCs w:val="24"/>
              </w:rPr>
              <w:t>10</w:t>
            </w:r>
            <w:r>
              <w:rPr>
                <w:rFonts w:ascii="Times New Roman" w:hAnsi="Times New Roman" w:cs="Times New Roman"/>
                <w:sz w:val="24"/>
                <w:szCs w:val="24"/>
              </w:rPr>
              <w:t>月</w:t>
            </w:r>
            <w:r>
              <w:rPr>
                <w:rFonts w:hint="eastAsia" w:ascii="Times New Roman" w:hAnsi="Times New Roman" w:cs="Times New Roman"/>
                <w:sz w:val="24"/>
                <w:szCs w:val="24"/>
              </w:rPr>
              <w:t>29日至2026年11月</w:t>
            </w:r>
            <w:r>
              <w:rPr>
                <w:rFonts w:hint="eastAsia" w:ascii="Times New Roman" w:hAnsi="Times New Roman" w:cs="Times New Roman"/>
                <w:sz w:val="24"/>
                <w:szCs w:val="24"/>
                <w:lang w:val="en-US" w:eastAsia="zh-CN"/>
              </w:rPr>
              <w:t>6</w:t>
            </w:r>
            <w:bookmarkStart w:id="2" w:name="_GoBack"/>
            <w:bookmarkEnd w:id="2"/>
            <w:r>
              <w:rPr>
                <w:rFonts w:hint="eastAsia" w:ascii="Times New Roman" w:hAnsi="Times New Roman" w:cs="Times New Roman"/>
                <w:sz w:val="24"/>
                <w:szCs w:val="24"/>
              </w:rPr>
              <w:t>日</w:t>
            </w:r>
          </w:p>
        </w:tc>
      </w:tr>
      <w:tr w14:paraId="0629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521C8F0A">
            <w:pPr>
              <w:adjustRightInd w:val="0"/>
              <w:snapToGrid w:val="0"/>
              <w:rPr>
                <w:rFonts w:hint="eastAsia" w:ascii="宋体" w:hAnsi="宋体" w:cs="Arial"/>
                <w:sz w:val="24"/>
                <w:szCs w:val="24"/>
              </w:rPr>
            </w:pPr>
            <w:r>
              <w:rPr>
                <w:rFonts w:hint="eastAsia" w:ascii="宋体" w:hAnsi="宋体" w:cs="Arial"/>
                <w:sz w:val="24"/>
                <w:szCs w:val="24"/>
              </w:rPr>
              <w:t>地点</w:t>
            </w:r>
          </w:p>
        </w:tc>
        <w:tc>
          <w:tcPr>
            <w:tcW w:w="6237" w:type="dxa"/>
            <w:vAlign w:val="center"/>
          </w:tcPr>
          <w:p w14:paraId="20F39A5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江苏省南通市苏通科技产业园海维路66号行政中心会议室、上海、进门财经</w:t>
            </w:r>
          </w:p>
        </w:tc>
      </w:tr>
      <w:tr w14:paraId="3E19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2441008D">
            <w:pPr>
              <w:adjustRightInd w:val="0"/>
              <w:snapToGrid w:val="0"/>
              <w:rPr>
                <w:rFonts w:hint="eastAsia" w:ascii="宋体" w:hAnsi="宋体" w:cs="Arial"/>
                <w:sz w:val="24"/>
                <w:szCs w:val="24"/>
              </w:rPr>
            </w:pPr>
            <w:r>
              <w:rPr>
                <w:rFonts w:hint="eastAsia" w:ascii="宋体" w:hAnsi="宋体" w:cs="Arial"/>
                <w:sz w:val="24"/>
                <w:szCs w:val="24"/>
              </w:rPr>
              <w:t>公司接待人员姓名</w:t>
            </w:r>
          </w:p>
        </w:tc>
        <w:tc>
          <w:tcPr>
            <w:tcW w:w="6237" w:type="dxa"/>
            <w:vAlign w:val="center"/>
          </w:tcPr>
          <w:p w14:paraId="038DAB05">
            <w:pPr>
              <w:adjustRightInd w:val="0"/>
              <w:snapToGrid w:val="0"/>
              <w:rPr>
                <w:rFonts w:hint="eastAsia" w:ascii="宋体" w:hAnsi="宋体" w:cs="Arial"/>
                <w:sz w:val="24"/>
                <w:szCs w:val="24"/>
              </w:rPr>
            </w:pPr>
            <w:r>
              <w:rPr>
                <w:rFonts w:ascii="宋体" w:hAnsi="宋体" w:cs="Arial"/>
                <w:sz w:val="24"/>
                <w:szCs w:val="24"/>
              </w:rPr>
              <w:t>当值总经理：张鑫鑫</w:t>
            </w:r>
          </w:p>
          <w:p w14:paraId="6CE6A04D">
            <w:pPr>
              <w:adjustRightInd w:val="0"/>
              <w:snapToGrid w:val="0"/>
              <w:rPr>
                <w:rFonts w:hint="eastAsia" w:ascii="宋体" w:hAnsi="宋体" w:cs="Arial"/>
                <w:sz w:val="24"/>
                <w:szCs w:val="24"/>
              </w:rPr>
            </w:pPr>
            <w:r>
              <w:rPr>
                <w:rFonts w:ascii="宋体" w:hAnsi="宋体" w:cs="Arial"/>
                <w:sz w:val="24"/>
                <w:szCs w:val="24"/>
              </w:rPr>
              <w:t>独立董事：徐胜利</w:t>
            </w:r>
          </w:p>
          <w:p w14:paraId="79429F24">
            <w:pPr>
              <w:adjustRightInd w:val="0"/>
              <w:snapToGrid w:val="0"/>
              <w:rPr>
                <w:rFonts w:hint="eastAsia" w:ascii="宋体" w:hAnsi="宋体" w:cs="Arial"/>
                <w:sz w:val="24"/>
                <w:szCs w:val="24"/>
              </w:rPr>
            </w:pPr>
            <w:r>
              <w:rPr>
                <w:rFonts w:hint="eastAsia" w:ascii="宋体" w:hAnsi="宋体" w:cs="Arial"/>
                <w:sz w:val="24"/>
                <w:szCs w:val="24"/>
              </w:rPr>
              <w:t>副总经理、财务总监、董事会秘书：翁茂森</w:t>
            </w:r>
          </w:p>
        </w:tc>
      </w:tr>
      <w:tr w14:paraId="7504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38210804">
            <w:pPr>
              <w:adjustRightInd w:val="0"/>
              <w:snapToGrid w:val="0"/>
              <w:rPr>
                <w:rFonts w:ascii="Times New Roman" w:hAnsi="Times New Roman" w:cs="Times New Roman"/>
                <w:sz w:val="24"/>
                <w:szCs w:val="24"/>
              </w:rPr>
            </w:pPr>
            <w:r>
              <w:rPr>
                <w:rFonts w:ascii="Times New Roman" w:hAnsi="Times New Roman" w:cs="Times New Roman"/>
                <w:sz w:val="24"/>
                <w:szCs w:val="24"/>
              </w:rPr>
              <w:t>参会单位名称</w:t>
            </w:r>
          </w:p>
        </w:tc>
        <w:tc>
          <w:tcPr>
            <w:tcW w:w="6237" w:type="dxa"/>
            <w:vAlign w:val="center"/>
          </w:tcPr>
          <w:p w14:paraId="1768D7A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按机构名称首字母排序：</w:t>
            </w:r>
          </w:p>
          <w:p w14:paraId="72554F1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Allianz：吴迪；</w:t>
            </w:r>
          </w:p>
          <w:p w14:paraId="4DC783F0">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宝盈基金：宋可嘉、方佳佳；</w:t>
            </w:r>
          </w:p>
          <w:p w14:paraId="552126B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碧云资本：吕品贤；</w:t>
            </w:r>
          </w:p>
          <w:p w14:paraId="73D7BDF4">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北京明德天盛：杨浩；</w:t>
            </w:r>
          </w:p>
          <w:p w14:paraId="369F3AA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财通基金：冉诗瑶；</w:t>
            </w:r>
          </w:p>
          <w:p w14:paraId="159A83D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财通资管：郭琪、王思宁；</w:t>
            </w:r>
          </w:p>
          <w:p w14:paraId="3BCA235E">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草本投资：兰盛泽；</w:t>
            </w:r>
          </w:p>
          <w:p w14:paraId="63C1BC0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长城基金：韩林、余欢；</w:t>
            </w:r>
          </w:p>
          <w:p w14:paraId="1A5662D5">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常春藤私募：陈雯雯、程熙云、倪云展；</w:t>
            </w:r>
          </w:p>
          <w:p w14:paraId="7F1A518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长心私募：徐行余；</w:t>
            </w:r>
          </w:p>
          <w:p w14:paraId="2FB5B0A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淳厚基金：张传植；</w:t>
            </w:r>
          </w:p>
          <w:p w14:paraId="6847F5ED">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创金合信基金：刘扬；</w:t>
            </w:r>
          </w:p>
          <w:p w14:paraId="2BB26276">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Dymon Asia：Jiming、Nick Li；</w:t>
            </w:r>
          </w:p>
          <w:p w14:paraId="757808C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德邦基金：熊泰来；</w:t>
            </w:r>
          </w:p>
          <w:p w14:paraId="18F5B82D">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东方阿尔法基金：周谧；</w:t>
            </w:r>
          </w:p>
          <w:p w14:paraId="25A74FD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东方基金：高强、李瑞、吴昊；</w:t>
            </w:r>
          </w:p>
          <w:p w14:paraId="1EADEAF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东方证券：郭哲、王树娟、邢恺、杨肇宁；</w:t>
            </w:r>
          </w:p>
          <w:p w14:paraId="111C61C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东吴自营：杨默曦；</w:t>
            </w:r>
          </w:p>
          <w:p w14:paraId="08E094F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东证融汇资管：许恩源；</w:t>
            </w:r>
          </w:p>
          <w:p w14:paraId="2ABEC67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东证资管：傅奕翔；</w:t>
            </w:r>
          </w:p>
          <w:p w14:paraId="73D129D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方御投资：朱俊；</w:t>
            </w:r>
          </w:p>
          <w:p w14:paraId="3A3FBA35">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非马投资：李方勇、鲁长剑、张齐嘉、赵一鸣；</w:t>
            </w:r>
          </w:p>
          <w:p w14:paraId="39D762A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富安达基金：路旭、李承书；</w:t>
            </w:r>
          </w:p>
          <w:p w14:paraId="16EFE9D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富国基金：武云泽、戴泽斌、王卓立、武磊、肖威兵、闫伟、赵年珅、沙炜；</w:t>
            </w:r>
          </w:p>
          <w:p w14:paraId="0CE9F8A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Fullerton Fund：Xingjian Liang；</w:t>
            </w:r>
          </w:p>
          <w:p w14:paraId="06F3FC14">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港丽投资：邵琮元；</w:t>
            </w:r>
          </w:p>
          <w:p w14:paraId="591A389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高毅资产：李子硕；</w:t>
            </w:r>
          </w:p>
          <w:p w14:paraId="5DFA1B4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工银安盛资管：牛品；</w:t>
            </w:r>
          </w:p>
          <w:p w14:paraId="5EF62B04">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光大保德信基金：崔书田、王明旭；</w:t>
            </w:r>
          </w:p>
          <w:p w14:paraId="24DD34B0">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国海富兰克林基金：王晓宁；</w:t>
            </w:r>
          </w:p>
          <w:p w14:paraId="553AFD8E">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国金电新：王炳宣；</w:t>
            </w:r>
          </w:p>
          <w:p w14:paraId="531E249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国金基金：边广洁；</w:t>
            </w:r>
          </w:p>
          <w:p w14:paraId="466DFC2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国联安基金：陈笑宇；</w:t>
            </w:r>
          </w:p>
          <w:p w14:paraId="046E914D">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国联基金：焦阳；</w:t>
            </w:r>
          </w:p>
          <w:p w14:paraId="20C8EE7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国泰海通：房青；</w:t>
            </w:r>
          </w:p>
          <w:p w14:paraId="5772487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国泰基金：汪壑、顾益辉；</w:t>
            </w:r>
          </w:p>
          <w:p w14:paraId="5652DE4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国泰君安资管：杨坤、张晨洁；</w:t>
            </w:r>
          </w:p>
          <w:p w14:paraId="442592C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国新自营：张萌；</w:t>
            </w:r>
          </w:p>
          <w:p w14:paraId="707D698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国信证券：延姣阳；</w:t>
            </w:r>
          </w:p>
          <w:p w14:paraId="1645926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果实基金：杨明韬；</w:t>
            </w:r>
          </w:p>
          <w:p w14:paraId="060EE5D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Hao Advisors：童心；</w:t>
            </w:r>
          </w:p>
          <w:p w14:paraId="04935FB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HHLR Advisors：Yizhe Wang；</w:t>
            </w:r>
          </w:p>
          <w:p w14:paraId="24CAB7D5">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海富通基金：陈林海、周小波；</w:t>
            </w:r>
          </w:p>
          <w:p w14:paraId="0FFB388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海通证券：陈宇婕；</w:t>
            </w:r>
          </w:p>
          <w:p w14:paraId="33B36356">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海通资管：蔡骏临；</w:t>
            </w:r>
          </w:p>
          <w:p w14:paraId="03F6B61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昊一投资：吴斌斌；</w:t>
            </w:r>
          </w:p>
          <w:p w14:paraId="2AB4F7D0">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和谐汇一：林钰婷；</w:t>
            </w:r>
          </w:p>
          <w:p w14:paraId="7B939D68">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恒健控股：潘云姗；</w:t>
            </w:r>
          </w:p>
          <w:p w14:paraId="690A9D7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鹤禧私募：李峥嵘；</w:t>
            </w:r>
          </w:p>
          <w:p w14:paraId="57487DE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宏道投资：季巍；</w:t>
            </w:r>
          </w:p>
          <w:p w14:paraId="131206C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宏利基金：王成慧、安琪；</w:t>
            </w:r>
          </w:p>
          <w:p w14:paraId="359B5C5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华安基金：花超、倪文凡、王春、文康、吴宇扬、周磊；</w:t>
            </w:r>
          </w:p>
          <w:p w14:paraId="2432FB4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华宝基金：毛文博、郑恺；</w:t>
            </w:r>
          </w:p>
          <w:p w14:paraId="52DDD18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华福电新：万伟；</w:t>
            </w:r>
          </w:p>
          <w:p w14:paraId="22BC8EAD">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华富基金：邓翔；</w:t>
            </w:r>
          </w:p>
          <w:p w14:paraId="36BA39C5">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华泰保兴：朱恒栋；</w:t>
            </w:r>
          </w:p>
          <w:p w14:paraId="214719E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华泰柏瑞：曾懿之；</w:t>
            </w:r>
          </w:p>
          <w:p w14:paraId="3FB8820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华泰资产：王笑；</w:t>
            </w:r>
          </w:p>
          <w:p w14:paraId="24608C8D">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华泰资管：陈辛；</w:t>
            </w:r>
          </w:p>
          <w:p w14:paraId="26FCC06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华龙证券：薛君之；</w:t>
            </w:r>
          </w:p>
          <w:p w14:paraId="496F398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华夏基金：艾邦妮、张露、王博言、高翔、韩霄、李彦；</w:t>
            </w:r>
          </w:p>
          <w:p w14:paraId="4AFF4D75">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华夏未来资本：梁善邦；</w:t>
            </w:r>
          </w:p>
          <w:p w14:paraId="3F4B51AD">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汇添富基金：徐志华；</w:t>
            </w:r>
          </w:p>
          <w:p w14:paraId="4789415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汇丰晋信基金：韦钰；</w:t>
            </w:r>
          </w:p>
          <w:p w14:paraId="779BE11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泓德基金：于浩成、高丹雪；</w:t>
            </w:r>
          </w:p>
          <w:p w14:paraId="32165A2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吉渊投资：陈晓伟；</w:t>
            </w:r>
          </w:p>
          <w:p w14:paraId="3F7F4E6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嘉实基金：宋阳；</w:t>
            </w:r>
          </w:p>
          <w:p w14:paraId="3572ECD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金鼎资本：吴高昊；</w:t>
            </w:r>
          </w:p>
          <w:p w14:paraId="11F009C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金鹰基金：李恒；</w:t>
            </w:r>
          </w:p>
          <w:p w14:paraId="40B500B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建信基金：田元泉；</w:t>
            </w:r>
          </w:p>
          <w:p w14:paraId="7AEA823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建信理财：唐文成；</w:t>
            </w:r>
          </w:p>
          <w:p w14:paraId="1192683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交银施罗德基金：谢缘、杨浩；</w:t>
            </w:r>
          </w:p>
          <w:p w14:paraId="38B5307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景顺长城：刘苏、曾英捷、朱冰文；</w:t>
            </w:r>
          </w:p>
          <w:p w14:paraId="1A1041C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聚鸣投资：惠博闻、朱尊；</w:t>
            </w:r>
          </w:p>
          <w:p w14:paraId="7CB9651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LyGH Capital：Raymond Hu；</w:t>
            </w:r>
          </w:p>
          <w:p w14:paraId="6F68C4E0">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Macquarie：Albert Miao、Peter Li、Richard Feng；</w:t>
            </w:r>
          </w:p>
          <w:p w14:paraId="2155C02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摩根基金：史彬、任佳伟；</w:t>
            </w:r>
          </w:p>
          <w:p w14:paraId="71BA99D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摩根士丹利基金：缪东航；</w:t>
            </w:r>
          </w:p>
          <w:p w14:paraId="1EAC09D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Ninety One：郄岩；</w:t>
            </w:r>
          </w:p>
          <w:p w14:paraId="5C6EA5E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南方基金：都逸敏、蒋秋洁、孙鲁闽、万朝辉、种一帆；</w:t>
            </w:r>
          </w:p>
          <w:p w14:paraId="1BDF68E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诺安基金：范磊；</w:t>
            </w:r>
          </w:p>
          <w:p w14:paraId="64C86BE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诺德基金：尹仕昕；</w:t>
            </w:r>
          </w:p>
          <w:p w14:paraId="2751B78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Octorivers：荣子龙；</w:t>
            </w:r>
          </w:p>
          <w:p w14:paraId="77DFDAF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PAG：Virginia；</w:t>
            </w:r>
          </w:p>
          <w:p w14:paraId="61E077C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Point72：Chuan Chen、Thomas Wang；</w:t>
            </w:r>
          </w:p>
          <w:p w14:paraId="7B6091F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平安基金：黄维、李洋、王华、杨蓓斯；</w:t>
            </w:r>
          </w:p>
          <w:p w14:paraId="3253097D">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平安资管：郭涛；</w:t>
            </w:r>
          </w:p>
          <w:p w14:paraId="42CCAE2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瀑布资产：王樊；</w:t>
            </w:r>
          </w:p>
          <w:p w14:paraId="4142376E">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鹏华基金：张炜；</w:t>
            </w:r>
          </w:p>
          <w:p w14:paraId="24555D5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浦银安盛基金：谢金翰；</w:t>
            </w:r>
          </w:p>
          <w:p w14:paraId="135A6A9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前海开源基金：邱杰；</w:t>
            </w:r>
          </w:p>
          <w:p w14:paraId="0EB74978">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泉果基金：顾森希；</w:t>
            </w:r>
          </w:p>
          <w:p w14:paraId="288A3FA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RBC：余谦；</w:t>
            </w:r>
          </w:p>
          <w:p w14:paraId="596349D4">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人保资产：田垒；</w:t>
            </w:r>
          </w:p>
          <w:p w14:paraId="5AB9F42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榕树投资：杜志君；</w:t>
            </w:r>
          </w:p>
          <w:p w14:paraId="2AD8D610">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融通基金：任涛、江怡龙；</w:t>
            </w:r>
          </w:p>
          <w:p w14:paraId="5B98DF6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瑞华资管：卢跃峰；</w:t>
            </w:r>
          </w:p>
          <w:p w14:paraId="12BE759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睿郡资产：孟维维、杜昌勇、董承非、薛大威、沈晓源、丁晨霞；</w:t>
            </w:r>
          </w:p>
          <w:p w14:paraId="2FB1E42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睿远基金：顾晓彦、赵枫、郑斌；</w:t>
            </w:r>
          </w:p>
          <w:p w14:paraId="568B15F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山西证券资管：庄波；</w:t>
            </w:r>
          </w:p>
          <w:p w14:paraId="30D5B3F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山西证券自营：薛余来；</w:t>
            </w:r>
          </w:p>
          <w:p w14:paraId="1165D66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上汽金控：黄杨；</w:t>
            </w:r>
          </w:p>
          <w:p w14:paraId="0ADF3F28">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上海勤辰：林轩宇；</w:t>
            </w:r>
          </w:p>
          <w:p w14:paraId="3186A02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上海宁泉资产：易际泉；</w:t>
            </w:r>
          </w:p>
          <w:p w14:paraId="14BB8C2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上海贤盛投资：郑力豪；</w:t>
            </w:r>
          </w:p>
          <w:p w14:paraId="79FBA726">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上海左道投资：杨杰；</w:t>
            </w:r>
          </w:p>
          <w:p w14:paraId="464862D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上银基金：顾伊蕾、罗项天；</w:t>
            </w:r>
          </w:p>
          <w:p w14:paraId="62051D6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申万菱信基金：王翰；</w:t>
            </w:r>
          </w:p>
          <w:p w14:paraId="794530C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世纪证券：陈峰；</w:t>
            </w:r>
          </w:p>
          <w:p w14:paraId="6E6D7658">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泰康资产：周昊；</w:t>
            </w:r>
          </w:p>
          <w:p w14:paraId="7861FA6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泰旸资产：魏昊；</w:t>
            </w:r>
          </w:p>
          <w:p w14:paraId="61CFA1D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太平基金：闫庚威；</w:t>
            </w:r>
          </w:p>
          <w:p w14:paraId="7581D63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太平洋资管：吴晓丹、叶宇泽；</w:t>
            </w:r>
          </w:p>
          <w:p w14:paraId="110476B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太平资产：彭丹雪；</w:t>
            </w:r>
          </w:p>
          <w:p w14:paraId="734A357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天风证券自营：王登立、薛余来；</w:t>
            </w:r>
          </w:p>
          <w:p w14:paraId="00F14BC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彤源投资：蔡骏临；</w:t>
            </w:r>
          </w:p>
          <w:p w14:paraId="43F3EFF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Trivest：Qiqi Wang；</w:t>
            </w:r>
          </w:p>
          <w:p w14:paraId="0049FA8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TX Capital：Zhuoran Wang；</w:t>
            </w:r>
          </w:p>
          <w:p w14:paraId="311CCE88">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万家基金：束金伟、刘宏达、况晓、曾宁馨；</w:t>
            </w:r>
          </w:p>
          <w:p w14:paraId="392C07CE">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WCM Investment：Mohan Ru；</w:t>
            </w:r>
          </w:p>
          <w:p w14:paraId="69344E3D">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Willing Capital：朱宏达；</w:t>
            </w:r>
          </w:p>
          <w:p w14:paraId="16AA634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西部利得基金：张向伟；</w:t>
            </w:r>
          </w:p>
          <w:p w14:paraId="21AFBB4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西部证券：陈龙沧；</w:t>
            </w:r>
          </w:p>
          <w:p w14:paraId="6DB0E291">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西部证券自营：庄自超；</w:t>
            </w:r>
          </w:p>
          <w:p w14:paraId="35F0C8F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西南证券自营：王琦；</w:t>
            </w:r>
          </w:p>
          <w:p w14:paraId="715A81F8">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信达澳亚基金：张剑滔、商柔芷；</w:t>
            </w:r>
          </w:p>
          <w:p w14:paraId="16589D7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新华基金：董晨阳；</w:t>
            </w:r>
          </w:p>
          <w:p w14:paraId="609D8B1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新华资产：杨思思；</w:t>
            </w:r>
          </w:p>
          <w:p w14:paraId="16EEA9C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新思哲投资：谢远熙；</w:t>
            </w:r>
          </w:p>
          <w:p w14:paraId="5CF52E9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信银理财：罗戴熠、王书杰；</w:t>
            </w:r>
          </w:p>
          <w:p w14:paraId="4509EA4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鑫元基金：汪壑、李彪；</w:t>
            </w:r>
          </w:p>
          <w:p w14:paraId="4642CE16">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兴业证券：胡琎心、杨森、张新新；</w:t>
            </w:r>
          </w:p>
          <w:p w14:paraId="286E0DF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兴银基金：罗怡达；</w:t>
            </w:r>
          </w:p>
          <w:p w14:paraId="74DE3165">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兴证全球基金：张哲源；</w:t>
            </w:r>
          </w:p>
          <w:p w14:paraId="211BC5CE">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阳光资产：李曦辰；</w:t>
            </w:r>
          </w:p>
          <w:p w14:paraId="70F08B05">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易方达基金：李中阳；</w:t>
            </w:r>
          </w:p>
          <w:p w14:paraId="5712210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银河基金：傅鑫、黄思敏、王丝语；</w:t>
            </w:r>
          </w:p>
          <w:p w14:paraId="6D8AA84B">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银华基金：张伯伦、施航、孙蓓琳、于蕾；</w:t>
            </w:r>
          </w:p>
          <w:p w14:paraId="7B67246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银之思动：张泽政；</w:t>
            </w:r>
          </w:p>
          <w:p w14:paraId="3EEC77A2">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胤胜资产：林桢；</w:t>
            </w:r>
          </w:p>
          <w:p w14:paraId="10B65134">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域秀资产：许俊哲；</w:t>
            </w:r>
          </w:p>
          <w:p w14:paraId="3D55F914">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永赢基金：李旭；</w:t>
            </w:r>
          </w:p>
          <w:p w14:paraId="328671A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涌贝资产：谭涛；</w:t>
            </w:r>
          </w:p>
          <w:p w14:paraId="6AC3998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甬兴证券自营：刘清馨；</w:t>
            </w:r>
          </w:p>
          <w:p w14:paraId="1307DA5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友安众晟：张恒辉；</w:t>
            </w:r>
          </w:p>
          <w:p w14:paraId="5DAFDF6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友邦资产：高云波；</w:t>
            </w:r>
          </w:p>
          <w:p w14:paraId="66EC55CE">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远东资信：赵恒；</w:t>
            </w:r>
          </w:p>
          <w:p w14:paraId="6CE63CF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圆信永丰基金：田玉铎；</w:t>
            </w:r>
          </w:p>
          <w:p w14:paraId="241EC0C5">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招商资管：蔡霖；</w:t>
            </w:r>
          </w:p>
          <w:p w14:paraId="4AD5FAE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正圆投资：徐彪；</w:t>
            </w:r>
          </w:p>
          <w:p w14:paraId="0E07C970">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中国人寿养老：吕品洁、刘崇武；</w:t>
            </w:r>
          </w:p>
          <w:p w14:paraId="5BC78CC7">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中欧基金：沈少波；</w:t>
            </w:r>
          </w:p>
          <w:p w14:paraId="117085E3">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中加基金：王亚楠；</w:t>
            </w:r>
          </w:p>
          <w:p w14:paraId="24CD15E8">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中邮创业基金：吴尚；</w:t>
            </w:r>
          </w:p>
          <w:p w14:paraId="6ACE20D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中邮基金：曹宇；</w:t>
            </w:r>
          </w:p>
          <w:p w14:paraId="00CF0E2F">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中邮人寿：孟东晖、张文鹏；</w:t>
            </w:r>
          </w:p>
          <w:p w14:paraId="225FE38A">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中银基金：郭毅、姚卫巍；</w:t>
            </w:r>
          </w:p>
          <w:p w14:paraId="53A8DD08">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中信建投：梁斌；</w:t>
            </w:r>
          </w:p>
          <w:p w14:paraId="10344E38">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中信证券：魏巍；</w:t>
            </w:r>
          </w:p>
          <w:p w14:paraId="04064DA9">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中信资管：汪逸然；</w:t>
            </w:r>
          </w:p>
          <w:p w14:paraId="2D9B397C">
            <w:pPr>
              <w:adjustRightInd w:val="0"/>
              <w:snapToGrid w:val="0"/>
              <w:rPr>
                <w:rFonts w:ascii="Times New Roman" w:hAnsi="Times New Roman" w:cs="Times New Roman"/>
                <w:sz w:val="24"/>
                <w:szCs w:val="24"/>
              </w:rPr>
            </w:pPr>
            <w:r>
              <w:rPr>
                <w:rFonts w:hint="eastAsia" w:ascii="Times New Roman" w:hAnsi="Times New Roman" w:cs="Times New Roman"/>
                <w:sz w:val="24"/>
                <w:szCs w:val="24"/>
              </w:rPr>
              <w:t>朱雀基金：陈亚博；</w:t>
            </w:r>
          </w:p>
          <w:p w14:paraId="62366C15">
            <w:pPr>
              <w:adjustRightInd w:val="0"/>
              <w:snapToGrid w:val="0"/>
              <w:rPr>
                <w:rFonts w:ascii="Times New Roman" w:hAnsi="Times New Roman" w:cs="Times New Roman"/>
                <w:sz w:val="24"/>
                <w:szCs w:val="24"/>
              </w:rPr>
            </w:pPr>
            <w:r>
              <w:rPr>
                <w:rFonts w:ascii="Times New Roman" w:hAnsi="Times New Roman" w:cs="Times New Roman"/>
                <w:sz w:val="24"/>
                <w:szCs w:val="24"/>
              </w:rPr>
              <w:t>线上参与公司2026年第三季度业绩说明会的全体投资者</w:t>
            </w:r>
            <w:r>
              <w:rPr>
                <w:rFonts w:hint="eastAsia" w:ascii="Times New Roman" w:hAnsi="Times New Roman" w:cs="Times New Roman"/>
                <w:sz w:val="24"/>
                <w:szCs w:val="24"/>
              </w:rPr>
              <w:t>。</w:t>
            </w:r>
          </w:p>
        </w:tc>
      </w:tr>
      <w:tr w14:paraId="141E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2405" w:type="dxa"/>
            <w:vAlign w:val="center"/>
          </w:tcPr>
          <w:p w14:paraId="3372C98C">
            <w:pPr>
              <w:adjustRightInd w:val="0"/>
              <w:snapToGrid w:val="0"/>
              <w:rPr>
                <w:rFonts w:hint="eastAsia" w:ascii="宋体" w:hAnsi="宋体" w:cs="Arial"/>
                <w:sz w:val="24"/>
                <w:szCs w:val="24"/>
              </w:rPr>
            </w:pPr>
            <w:r>
              <w:rPr>
                <w:rFonts w:hint="eastAsia" w:ascii="宋体" w:hAnsi="宋体" w:cs="Arial"/>
                <w:sz w:val="24"/>
                <w:szCs w:val="24"/>
              </w:rPr>
              <w:t>投资者关系活动主要内容介绍</w:t>
            </w:r>
          </w:p>
        </w:tc>
        <w:tc>
          <w:tcPr>
            <w:tcW w:w="6237" w:type="dxa"/>
            <w:vAlign w:val="center"/>
          </w:tcPr>
          <w:p w14:paraId="072722DF">
            <w:pPr>
              <w:adjustRightInd w:val="0"/>
              <w:snapToGrid w:val="0"/>
              <w:spacing w:before="156" w:beforeLines="50" w:line="360" w:lineRule="auto"/>
              <w:rPr>
                <w:rFonts w:ascii="Times New Roman" w:hAnsi="Times New Roman" w:cs="Times New Roman"/>
                <w:sz w:val="24"/>
                <w:szCs w:val="24"/>
              </w:rPr>
            </w:pPr>
            <w:r>
              <w:rPr>
                <w:rFonts w:ascii="Times New Roman" w:hAnsi="Times New Roman" w:cs="Times New Roman"/>
                <w:sz w:val="24"/>
                <w:szCs w:val="24"/>
              </w:rPr>
              <w:t>本次调研不涉及应披露的重大信息。</w:t>
            </w:r>
          </w:p>
          <w:p w14:paraId="33C7F24A">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调研问题回复：</w:t>
            </w:r>
          </w:p>
          <w:p w14:paraId="2F4D26B2">
            <w:pPr>
              <w:adjustRightInd w:val="0"/>
              <w:snapToGrid w:val="0"/>
              <w:spacing w:before="156" w:beforeLines="50" w:line="360" w:lineRule="auto"/>
              <w:ind w:firstLine="482" w:firstLineChars="200"/>
              <w:rPr>
                <w:rFonts w:ascii="Times New Roman" w:hAnsi="Times New Roman" w:cs="Times New Roman"/>
                <w:b/>
                <w:bCs/>
                <w:sz w:val="24"/>
                <w:szCs w:val="24"/>
              </w:rPr>
            </w:pPr>
            <w:r>
              <w:rPr>
                <w:rFonts w:hint="eastAsia" w:ascii="Times New Roman" w:hAnsi="Times New Roman" w:cs="Times New Roman"/>
                <w:b/>
                <w:bCs/>
                <w:sz w:val="24"/>
                <w:szCs w:val="24"/>
              </w:rPr>
              <w:t>1、请介绍一下公司前三季度整体经营及业绩情况？</w:t>
            </w:r>
          </w:p>
          <w:p w14:paraId="46D303A0">
            <w:pPr>
              <w:adjustRightInd w:val="0"/>
              <w:snapToGrid w:val="0"/>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回复：</w:t>
            </w:r>
            <w:r>
              <w:rPr>
                <w:rFonts w:ascii="Times New Roman" w:hAnsi="Times New Roman" w:cs="Times New Roman"/>
                <w:sz w:val="24"/>
                <w:szCs w:val="24"/>
              </w:rPr>
              <w:t>2026年前三季度，公司实现营业收入13.31亿元，同比增长14.43%；</w:t>
            </w:r>
            <w:r>
              <w:rPr>
                <w:rFonts w:hint="eastAsia" w:ascii="Times New Roman" w:hAnsi="Times New Roman" w:cs="Times New Roman"/>
                <w:sz w:val="24"/>
                <w:szCs w:val="24"/>
              </w:rPr>
              <w:t>归属于上市公司股东的净利润</w:t>
            </w:r>
            <w:r>
              <w:rPr>
                <w:rFonts w:ascii="Times New Roman" w:hAnsi="Times New Roman" w:cs="Times New Roman"/>
                <w:sz w:val="24"/>
                <w:szCs w:val="24"/>
              </w:rPr>
              <w:t>3.12亿元，同比增长12.73%；</w:t>
            </w:r>
            <w:r>
              <w:rPr>
                <w:rFonts w:hint="eastAsia" w:ascii="Times New Roman" w:hAnsi="Times New Roman" w:cs="Times New Roman"/>
                <w:sz w:val="24"/>
                <w:szCs w:val="24"/>
              </w:rPr>
              <w:t>归属于上市公司股东的扣除非经常性损益的净利润</w:t>
            </w:r>
            <w:r>
              <w:rPr>
                <w:rFonts w:ascii="Times New Roman" w:hAnsi="Times New Roman" w:cs="Times New Roman"/>
                <w:sz w:val="24"/>
                <w:szCs w:val="24"/>
              </w:rPr>
              <w:t>3.05亿元，同比增长11.58%，前三季度整体保持稳健增长。拆分来看，</w:t>
            </w:r>
            <w:r>
              <w:rPr>
                <w:rFonts w:hint="eastAsia" w:ascii="Times New Roman" w:hAnsi="Times New Roman" w:cs="Times New Roman"/>
                <w:sz w:val="24"/>
                <w:szCs w:val="24"/>
              </w:rPr>
              <w:t>2026年</w:t>
            </w:r>
            <w:r>
              <w:rPr>
                <w:rFonts w:ascii="Times New Roman" w:hAnsi="Times New Roman" w:cs="Times New Roman"/>
                <w:sz w:val="24"/>
                <w:szCs w:val="24"/>
              </w:rPr>
              <w:t>第三季度营业收入4.37亿元，同比下降4.83%；</w:t>
            </w:r>
            <w:r>
              <w:rPr>
                <w:rFonts w:hint="eastAsia" w:ascii="Times New Roman" w:hAnsi="Times New Roman" w:cs="Times New Roman"/>
                <w:sz w:val="24"/>
                <w:szCs w:val="24"/>
              </w:rPr>
              <w:t>归属于上市公司股东的净利润</w:t>
            </w:r>
            <w:r>
              <w:rPr>
                <w:rFonts w:ascii="Times New Roman" w:hAnsi="Times New Roman" w:cs="Times New Roman"/>
                <w:sz w:val="24"/>
                <w:szCs w:val="24"/>
              </w:rPr>
              <w:t>0.98亿元，同比下降16.48%，主要是</w:t>
            </w:r>
            <w:r>
              <w:rPr>
                <w:rFonts w:hint="eastAsia" w:ascii="Times New Roman" w:hAnsi="Times New Roman" w:cs="Times New Roman"/>
                <w:sz w:val="24"/>
                <w:szCs w:val="24"/>
              </w:rPr>
              <w:t>发货及</w:t>
            </w:r>
            <w:r>
              <w:rPr>
                <w:rFonts w:ascii="Times New Roman" w:hAnsi="Times New Roman" w:cs="Times New Roman"/>
                <w:sz w:val="24"/>
                <w:szCs w:val="24"/>
              </w:rPr>
              <w:t>收入确认时点延后所致。订单层面，前三季度新增订单整体实现</w:t>
            </w:r>
            <w:r>
              <w:rPr>
                <w:rFonts w:hint="eastAsia" w:ascii="Times New Roman" w:hAnsi="Times New Roman" w:cs="Times New Roman"/>
                <w:sz w:val="24"/>
                <w:szCs w:val="24"/>
              </w:rPr>
              <w:t>稳健</w:t>
            </w:r>
            <w:r>
              <w:rPr>
                <w:rFonts w:ascii="Times New Roman" w:hAnsi="Times New Roman" w:cs="Times New Roman"/>
                <w:sz w:val="24"/>
                <w:szCs w:val="24"/>
              </w:rPr>
              <w:t>增长，其中国际订单增速高于国内，</w:t>
            </w:r>
            <w:r>
              <w:rPr>
                <w:rFonts w:hint="eastAsia" w:ascii="Times New Roman" w:hAnsi="Times New Roman" w:cs="Times New Roman"/>
                <w:sz w:val="24"/>
                <w:szCs w:val="24"/>
              </w:rPr>
              <w:t>增速强劲</w:t>
            </w:r>
            <w:r>
              <w:rPr>
                <w:rFonts w:ascii="Times New Roman" w:hAnsi="Times New Roman" w:cs="Times New Roman"/>
                <w:sz w:val="24"/>
                <w:szCs w:val="24"/>
              </w:rPr>
              <w:t>。</w:t>
            </w:r>
          </w:p>
          <w:p w14:paraId="7A37440F">
            <w:pPr>
              <w:adjustRightInd w:val="0"/>
              <w:snapToGrid w:val="0"/>
              <w:spacing w:line="360" w:lineRule="auto"/>
              <w:ind w:firstLine="482" w:firstLineChars="200"/>
              <w:rPr>
                <w:rFonts w:ascii="Times New Roman" w:hAnsi="Times New Roman" w:cs="Times New Roman"/>
                <w:b/>
                <w:bCs/>
                <w:sz w:val="24"/>
                <w:szCs w:val="24"/>
              </w:rPr>
            </w:pPr>
            <w:r>
              <w:rPr>
                <w:rFonts w:hint="eastAsia" w:ascii="Times New Roman" w:hAnsi="Times New Roman" w:cs="Times New Roman"/>
                <w:b/>
                <w:bCs/>
                <w:sz w:val="24"/>
                <w:szCs w:val="24"/>
              </w:rPr>
              <w:t>2、</w:t>
            </w:r>
            <w:r>
              <w:rPr>
                <w:rFonts w:ascii="Times New Roman" w:hAnsi="Times New Roman" w:cs="Times New Roman"/>
                <w:b/>
                <w:bCs/>
                <w:sz w:val="24"/>
                <w:szCs w:val="24"/>
              </w:rPr>
              <w:t>公司</w:t>
            </w:r>
            <w:r>
              <w:rPr>
                <w:rFonts w:hint="eastAsia" w:ascii="Times New Roman" w:hAnsi="Times New Roman" w:cs="Times New Roman"/>
                <w:b/>
                <w:bCs/>
                <w:sz w:val="24"/>
                <w:szCs w:val="24"/>
              </w:rPr>
              <w:t>2026年第</w:t>
            </w:r>
            <w:r>
              <w:rPr>
                <w:rFonts w:ascii="Times New Roman" w:hAnsi="Times New Roman" w:cs="Times New Roman"/>
                <w:b/>
                <w:bCs/>
                <w:sz w:val="24"/>
                <w:szCs w:val="24"/>
              </w:rPr>
              <w:t>三季度</w:t>
            </w:r>
            <w:r>
              <w:rPr>
                <w:rFonts w:hint="eastAsia" w:ascii="Times New Roman" w:hAnsi="Times New Roman" w:cs="Times New Roman"/>
                <w:b/>
                <w:bCs/>
                <w:sz w:val="24"/>
                <w:szCs w:val="24"/>
              </w:rPr>
              <w:t>业绩</w:t>
            </w:r>
            <w:r>
              <w:rPr>
                <w:rFonts w:ascii="Times New Roman" w:hAnsi="Times New Roman" w:cs="Times New Roman"/>
                <w:b/>
                <w:bCs/>
                <w:sz w:val="24"/>
                <w:szCs w:val="24"/>
              </w:rPr>
              <w:t>有所承压，主要原因</w:t>
            </w:r>
            <w:r>
              <w:rPr>
                <w:rFonts w:hint="eastAsia" w:ascii="Times New Roman" w:hAnsi="Times New Roman" w:cs="Times New Roman"/>
                <w:b/>
                <w:bCs/>
                <w:sz w:val="24"/>
                <w:szCs w:val="24"/>
              </w:rPr>
              <w:t>是什么</w:t>
            </w:r>
            <w:r>
              <w:rPr>
                <w:rFonts w:ascii="Times New Roman" w:hAnsi="Times New Roman" w:cs="Times New Roman"/>
                <w:b/>
                <w:bCs/>
                <w:sz w:val="24"/>
                <w:szCs w:val="24"/>
              </w:rPr>
              <w:t>？</w:t>
            </w:r>
          </w:p>
          <w:p w14:paraId="05486174">
            <w:pPr>
              <w:adjustRightInd w:val="0"/>
              <w:snapToGrid w:val="0"/>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回复：公司今年第</w:t>
            </w:r>
            <w:r>
              <w:rPr>
                <w:rFonts w:ascii="Times New Roman" w:hAnsi="Times New Roman" w:cs="Times New Roman"/>
                <w:sz w:val="24"/>
                <w:szCs w:val="24"/>
              </w:rPr>
              <w:t>三季度业绩承压，主要系沿海区域台风集中扰动，致使部分国内电网及海外出口项目发运受阻；叠加后续跨境舱位供给趋紧、运价波动，部分客户综合评估成本后调整发运排期，进而造成部分订单收入确认时点延后。本期待交付订单中沿海项目占比相对更高，放大了前述因素对当期出货节奏的影响</w:t>
            </w:r>
            <w:r>
              <w:rPr>
                <w:rFonts w:hint="eastAsia" w:ascii="Times New Roman" w:hAnsi="Times New Roman" w:cs="Times New Roman"/>
                <w:sz w:val="24"/>
                <w:szCs w:val="24"/>
              </w:rPr>
              <w:t>。但从</w:t>
            </w:r>
            <w:r>
              <w:rPr>
                <w:rFonts w:ascii="Times New Roman" w:hAnsi="Times New Roman" w:cs="Times New Roman"/>
                <w:sz w:val="24"/>
                <w:szCs w:val="24"/>
              </w:rPr>
              <w:t>订单层面</w:t>
            </w:r>
            <w:r>
              <w:rPr>
                <w:rFonts w:hint="eastAsia" w:ascii="Times New Roman" w:hAnsi="Times New Roman" w:cs="Times New Roman"/>
                <w:sz w:val="24"/>
                <w:szCs w:val="24"/>
              </w:rPr>
              <w:t>来看，</w:t>
            </w:r>
            <w:r>
              <w:rPr>
                <w:rFonts w:ascii="Times New Roman" w:hAnsi="Times New Roman" w:cs="Times New Roman"/>
                <w:sz w:val="24"/>
                <w:szCs w:val="24"/>
              </w:rPr>
              <w:t>整体与前期经营规划基本匹配。</w:t>
            </w:r>
          </w:p>
          <w:p w14:paraId="3973FFB6">
            <w:pPr>
              <w:adjustRightInd w:val="0"/>
              <w:snapToGrid w:val="0"/>
              <w:spacing w:line="360" w:lineRule="auto"/>
              <w:ind w:firstLine="482" w:firstLineChars="200"/>
              <w:rPr>
                <w:rFonts w:ascii="Times New Roman" w:hAnsi="Times New Roman" w:cs="Times New Roman"/>
                <w:b/>
                <w:bCs/>
                <w:sz w:val="24"/>
                <w:szCs w:val="24"/>
              </w:rPr>
            </w:pPr>
            <w:r>
              <w:rPr>
                <w:rFonts w:hint="eastAsia" w:ascii="Times New Roman" w:hAnsi="Times New Roman" w:cs="Times New Roman"/>
                <w:b/>
                <w:bCs/>
                <w:sz w:val="24"/>
                <w:szCs w:val="24"/>
              </w:rPr>
              <w:t>3、</w:t>
            </w:r>
            <w:r>
              <w:rPr>
                <w:rFonts w:ascii="Times New Roman" w:hAnsi="Times New Roman" w:cs="Times New Roman"/>
                <w:b/>
                <w:bCs/>
                <w:sz w:val="24"/>
                <w:szCs w:val="24"/>
              </w:rPr>
              <w:t>请介绍公司不同品类、不同区域订单从接单至收入确认的周期安排？</w:t>
            </w:r>
          </w:p>
          <w:p w14:paraId="3F927F90">
            <w:pPr>
              <w:adjustRightInd w:val="0"/>
              <w:snapToGrid w:val="0"/>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回复：</w:t>
            </w:r>
            <w:r>
              <w:rPr>
                <w:rFonts w:ascii="Times New Roman" w:hAnsi="Times New Roman" w:cs="Times New Roman"/>
                <w:sz w:val="24"/>
                <w:szCs w:val="24"/>
              </w:rPr>
              <w:t>线路绝缘子、变电站绝缘子标准化产品生产交付周期为45–60天；密封件类标准化产品生产交付周期更短，约10天；定制化产品</w:t>
            </w:r>
            <w:r>
              <w:rPr>
                <w:rFonts w:hint="eastAsia" w:ascii="Times New Roman" w:hAnsi="Times New Roman" w:cs="Times New Roman"/>
                <w:sz w:val="24"/>
                <w:szCs w:val="24"/>
              </w:rPr>
              <w:t>生产</w:t>
            </w:r>
            <w:r>
              <w:rPr>
                <w:rFonts w:ascii="Times New Roman" w:hAnsi="Times New Roman" w:cs="Times New Roman"/>
                <w:sz w:val="24"/>
                <w:szCs w:val="24"/>
              </w:rPr>
              <w:t>交付周期视技术需求相应延长。海外订单</w:t>
            </w:r>
            <w:r>
              <w:rPr>
                <w:rFonts w:hint="eastAsia" w:ascii="Times New Roman" w:hAnsi="Times New Roman" w:cs="Times New Roman"/>
                <w:sz w:val="24"/>
                <w:szCs w:val="24"/>
              </w:rPr>
              <w:t>如是DAP或DDP条款，则</w:t>
            </w:r>
            <w:r>
              <w:rPr>
                <w:rFonts w:ascii="Times New Roman" w:hAnsi="Times New Roman" w:cs="Times New Roman"/>
                <w:sz w:val="24"/>
                <w:szCs w:val="24"/>
              </w:rPr>
              <w:t>在对应产品生产交付周期基础上，还需叠加1</w:t>
            </w:r>
            <w:r>
              <w:rPr>
                <w:rFonts w:hint="eastAsia" w:ascii="Times New Roman" w:hAnsi="Times New Roman" w:cs="Times New Roman"/>
                <w:sz w:val="24"/>
                <w:szCs w:val="24"/>
              </w:rPr>
              <w:t>-2</w:t>
            </w:r>
            <w:r>
              <w:rPr>
                <w:rFonts w:ascii="Times New Roman" w:hAnsi="Times New Roman" w:cs="Times New Roman"/>
                <w:sz w:val="24"/>
                <w:szCs w:val="24"/>
              </w:rPr>
              <w:t>个月跨境海运周期。</w:t>
            </w:r>
          </w:p>
          <w:p w14:paraId="039A12F9">
            <w:pPr>
              <w:adjustRightInd w:val="0"/>
              <w:snapToGrid w:val="0"/>
              <w:spacing w:line="360" w:lineRule="auto"/>
              <w:ind w:firstLine="482" w:firstLineChars="200"/>
              <w:rPr>
                <w:rFonts w:ascii="Times New Roman" w:hAnsi="Times New Roman" w:cs="Times New Roman"/>
                <w:b/>
                <w:bCs/>
                <w:sz w:val="24"/>
                <w:szCs w:val="24"/>
              </w:rPr>
            </w:pPr>
            <w:r>
              <w:rPr>
                <w:rFonts w:hint="eastAsia" w:ascii="Times New Roman" w:hAnsi="Times New Roman" w:cs="Times New Roman"/>
                <w:b/>
                <w:bCs/>
                <w:sz w:val="24"/>
                <w:szCs w:val="24"/>
              </w:rPr>
              <w:t>4、</w:t>
            </w:r>
            <w:r>
              <w:rPr>
                <w:rFonts w:ascii="Times New Roman" w:hAnsi="Times New Roman" w:cs="Times New Roman"/>
                <w:b/>
                <w:bCs/>
                <w:sz w:val="24"/>
                <w:szCs w:val="24"/>
              </w:rPr>
              <w:t>公司海外出货的主要物流路径及配套贸易条款安排如何？</w:t>
            </w:r>
          </w:p>
          <w:p w14:paraId="62A9C544">
            <w:pPr>
              <w:adjustRightInd w:val="0"/>
              <w:snapToGrid w:val="0"/>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回复</w:t>
            </w:r>
            <w:r>
              <w:rPr>
                <w:rFonts w:ascii="Times New Roman" w:hAnsi="Times New Roman" w:cs="Times New Roman"/>
                <w:sz w:val="24"/>
                <w:szCs w:val="24"/>
              </w:rPr>
              <w:t>：跨境物流层面，公司海外货物主要经由上海港海运出境，针对时效要求高的紧急订单，可灵活选用空运方案</w:t>
            </w:r>
            <w:r>
              <w:rPr>
                <w:rFonts w:hint="eastAsia" w:ascii="Times New Roman" w:hAnsi="Times New Roman" w:cs="Times New Roman"/>
                <w:sz w:val="24"/>
                <w:szCs w:val="24"/>
              </w:rPr>
              <w:t>。</w:t>
            </w:r>
          </w:p>
          <w:p w14:paraId="279EEAD3">
            <w:pPr>
              <w:adjustRightInd w:val="0"/>
              <w:snapToGrid w:val="0"/>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贸易条款根据产品品类差异化设置：变电类产品主要采用FOB、CIF、FCA等装运港/货交承运人条款；输电、配电类产品较多采用DDP目的地交付条款。不同条款对应的收入确认节点存在差异：FOB、CIF模式下，货物完成装船及报关手续后即可确认收入；FCA模式下以交付至客户指定承运人为控制权转移节点；DDP目的地交付模式以客户在境外完成收货确认为收入确认依据，电网类客户订单大多采用该交付条款。</w:t>
            </w:r>
          </w:p>
          <w:p w14:paraId="787B7D78">
            <w:pPr>
              <w:adjustRightInd w:val="0"/>
              <w:snapToGrid w:val="0"/>
              <w:spacing w:line="360" w:lineRule="auto"/>
              <w:ind w:firstLine="482" w:firstLineChars="200"/>
              <w:rPr>
                <w:rFonts w:ascii="Times New Roman" w:hAnsi="Times New Roman" w:cs="Times New Roman"/>
                <w:b/>
                <w:bCs/>
                <w:sz w:val="24"/>
                <w:szCs w:val="24"/>
              </w:rPr>
            </w:pPr>
            <w:r>
              <w:rPr>
                <w:rFonts w:hint="eastAsia" w:ascii="Times New Roman" w:hAnsi="Times New Roman" w:cs="Times New Roman"/>
                <w:b/>
                <w:bCs/>
                <w:sz w:val="24"/>
                <w:szCs w:val="24"/>
              </w:rPr>
              <w:t>5、</w:t>
            </w:r>
            <w:r>
              <w:rPr>
                <w:rFonts w:ascii="Times New Roman" w:hAnsi="Times New Roman" w:cs="Times New Roman"/>
                <w:b/>
                <w:bCs/>
                <w:sz w:val="24"/>
                <w:szCs w:val="24"/>
              </w:rPr>
              <w:t>若四季度再度出现海外运力趋紧、舱位供给不足的情形，公司有哪些应对预案？</w:t>
            </w:r>
          </w:p>
          <w:p w14:paraId="380B0D9B">
            <w:pPr>
              <w:adjustRightInd w:val="0"/>
              <w:snapToGrid w:val="0"/>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回复</w:t>
            </w:r>
            <w:r>
              <w:rPr>
                <w:rFonts w:ascii="Times New Roman" w:hAnsi="Times New Roman" w:cs="Times New Roman"/>
                <w:sz w:val="24"/>
                <w:szCs w:val="24"/>
              </w:rPr>
              <w:t>：面对跨境航运运力波动风险，公司提前统筹订单整合，并先行锁定仓位预定，同时积极拓展头部货代合作，保障舱位供应稳定。公司安排专人跟进锁舱、排港等关键环节，确保按期交付不受影响。此外，部分海外订单采用客户自担海运舱位及运费的商务条款，由客户负责运输清关事宜。</w:t>
            </w:r>
          </w:p>
          <w:p w14:paraId="79AAD113">
            <w:pPr>
              <w:widowControl/>
              <w:adjustRightInd w:val="0"/>
              <w:snapToGrid w:val="0"/>
              <w:spacing w:line="360" w:lineRule="auto"/>
              <w:ind w:firstLine="482" w:firstLineChars="200"/>
              <w:rPr>
                <w:rFonts w:ascii="Times New Roman" w:hAnsi="Times New Roman" w:cs="Times New Roman"/>
                <w:b/>
                <w:bCs/>
                <w:sz w:val="24"/>
                <w:szCs w:val="24"/>
              </w:rPr>
            </w:pPr>
            <w:r>
              <w:rPr>
                <w:rFonts w:hint="eastAsia" w:ascii="Times New Roman" w:hAnsi="Times New Roman" w:cs="Times New Roman"/>
                <w:b/>
                <w:bCs/>
                <w:sz w:val="24"/>
                <w:szCs w:val="24"/>
              </w:rPr>
              <w:t>6、</w:t>
            </w:r>
            <w:r>
              <w:rPr>
                <w:rFonts w:ascii="Times New Roman" w:hAnsi="Times New Roman" w:cs="Times New Roman"/>
                <w:b/>
                <w:bCs/>
                <w:sz w:val="24"/>
                <w:szCs w:val="24"/>
              </w:rPr>
              <w:t>GE Vernova</w:t>
            </w:r>
            <w:r>
              <w:rPr>
                <w:rFonts w:hint="eastAsia" w:ascii="Times New Roman" w:hAnsi="Times New Roman" w:cs="Times New Roman"/>
                <w:b/>
                <w:bCs/>
                <w:sz w:val="24"/>
                <w:szCs w:val="24"/>
              </w:rPr>
              <w:t>签</w:t>
            </w:r>
            <w:r>
              <w:rPr>
                <w:rFonts w:ascii="Times New Roman" w:hAnsi="Times New Roman" w:cs="Times New Roman"/>
                <w:b/>
                <w:bCs/>
                <w:sz w:val="24"/>
                <w:szCs w:val="24"/>
              </w:rPr>
              <w:t>署收购Trench Group协议，该交易对公司业务带来哪些机遇？</w:t>
            </w:r>
          </w:p>
          <w:p w14:paraId="4E87EEF1">
            <w:pPr>
              <w:widowControl/>
              <w:adjustRightInd w:val="0"/>
              <w:snapToGrid w:val="0"/>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回复：</w:t>
            </w:r>
            <w:r>
              <w:rPr>
                <w:rFonts w:ascii="Times New Roman" w:hAnsi="Times New Roman" w:cs="Times New Roman"/>
                <w:sz w:val="24"/>
                <w:szCs w:val="24"/>
              </w:rPr>
              <w:t>Trench Group主营互感器、变压器及开关套管等高压核心部件，是公司空心复合绝缘子的重要存量客户，产品同步供给多家国际电力装备龙头。</w:t>
            </w:r>
            <w:r>
              <w:rPr>
                <w:rFonts w:hint="eastAsia" w:ascii="Times New Roman" w:hAnsi="Times New Roman" w:cs="Times New Roman"/>
                <w:sz w:val="24"/>
                <w:szCs w:val="24"/>
              </w:rPr>
              <w:t>我们关注到</w:t>
            </w:r>
            <w:r>
              <w:rPr>
                <w:rFonts w:ascii="Times New Roman" w:hAnsi="Times New Roman" w:cs="Times New Roman"/>
                <w:sz w:val="24"/>
                <w:szCs w:val="24"/>
              </w:rPr>
              <w:t>本次收购尚待监管审批、预计2027年底完成交割，这一布局系GE Vernova为化解高压套管供给紧缺瓶颈实施的供应链垂直整合，有望为公司空心绝缘子、套管产品进一步切入GE Vernova体系创造机遇。同时该交易也将提升其他国际电力设备制造商对于套管供应链安全的关注度，公司越南、美国海外基地本地化保供价值凸显。</w:t>
            </w:r>
          </w:p>
          <w:p w14:paraId="02D2C062">
            <w:pPr>
              <w:widowControl/>
              <w:adjustRightInd w:val="0"/>
              <w:snapToGrid w:val="0"/>
              <w:spacing w:line="360" w:lineRule="auto"/>
              <w:ind w:firstLine="482" w:firstLineChars="200"/>
              <w:rPr>
                <w:rFonts w:ascii="Times New Roman" w:hAnsi="Times New Roman" w:cs="Times New Roman"/>
                <w:b/>
                <w:bCs/>
                <w:sz w:val="24"/>
                <w:szCs w:val="24"/>
              </w:rPr>
            </w:pPr>
            <w:r>
              <w:rPr>
                <w:rFonts w:hint="eastAsia" w:ascii="Times New Roman" w:hAnsi="Times New Roman" w:cs="Times New Roman"/>
                <w:b/>
                <w:bCs/>
                <w:sz w:val="24"/>
                <w:szCs w:val="24"/>
              </w:rPr>
              <w:t>7、公司内绝缘产品目前进展如何？</w:t>
            </w:r>
          </w:p>
          <w:p w14:paraId="20C8888C">
            <w:pPr>
              <w:widowControl/>
              <w:adjustRightInd w:val="0"/>
              <w:snapToGrid w:val="0"/>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回复：</w:t>
            </w:r>
            <w:r>
              <w:rPr>
                <w:rFonts w:ascii="Times New Roman" w:hAnsi="Times New Roman" w:cs="Times New Roman"/>
                <w:sz w:val="24"/>
                <w:szCs w:val="24"/>
              </w:rPr>
              <w:t>公司内绝缘产品产线已</w:t>
            </w:r>
            <w:r>
              <w:rPr>
                <w:rFonts w:hint="eastAsia" w:ascii="Times New Roman" w:hAnsi="Times New Roman" w:cs="Times New Roman"/>
                <w:sz w:val="24"/>
                <w:szCs w:val="24"/>
              </w:rPr>
              <w:t>于近期</w:t>
            </w:r>
            <w:r>
              <w:rPr>
                <w:rFonts w:ascii="Times New Roman" w:hAnsi="Times New Roman" w:cs="Times New Roman"/>
                <w:sz w:val="24"/>
                <w:szCs w:val="24"/>
              </w:rPr>
              <w:t>完成落地搭建，现阶段重点推进供方资质导入工作，有序对接GE Vernova等核心客户开展现场审厂；待客户供方审核通过后，将启动样品交付</w:t>
            </w:r>
            <w:r>
              <w:rPr>
                <w:rFonts w:hint="eastAsia" w:ascii="Times New Roman" w:hAnsi="Times New Roman" w:cs="Times New Roman"/>
                <w:sz w:val="24"/>
                <w:szCs w:val="24"/>
              </w:rPr>
              <w:t>；</w:t>
            </w:r>
            <w:r>
              <w:rPr>
                <w:rFonts w:ascii="Times New Roman" w:hAnsi="Times New Roman" w:cs="Times New Roman"/>
                <w:sz w:val="24"/>
                <w:szCs w:val="24"/>
              </w:rPr>
              <w:t>同步规划开展产品型式认证，认证周期预计3–6个月。</w:t>
            </w:r>
          </w:p>
          <w:p w14:paraId="71A94EF0">
            <w:pPr>
              <w:widowControl/>
              <w:adjustRightInd w:val="0"/>
              <w:snapToGrid w:val="0"/>
              <w:spacing w:line="360" w:lineRule="auto"/>
              <w:ind w:firstLine="482" w:firstLineChars="200"/>
              <w:rPr>
                <w:rFonts w:ascii="Times New Roman" w:hAnsi="Times New Roman" w:cs="Times New Roman"/>
                <w:sz w:val="24"/>
                <w:szCs w:val="24"/>
              </w:rPr>
            </w:pPr>
            <w:r>
              <w:rPr>
                <w:rFonts w:hint="eastAsia" w:ascii="Times New Roman" w:hAnsi="Times New Roman" w:cs="Times New Roman"/>
                <w:b/>
                <w:bCs/>
                <w:sz w:val="24"/>
                <w:szCs w:val="24"/>
              </w:rPr>
              <w:t>8、</w:t>
            </w:r>
            <w:r>
              <w:rPr>
                <w:rFonts w:ascii="Times New Roman" w:hAnsi="Times New Roman" w:cs="Times New Roman"/>
                <w:b/>
                <w:bCs/>
                <w:sz w:val="24"/>
                <w:szCs w:val="24"/>
              </w:rPr>
              <w:t>公司近期治理层有</w:t>
            </w:r>
            <w:r>
              <w:rPr>
                <w:rFonts w:hint="eastAsia" w:ascii="Times New Roman" w:hAnsi="Times New Roman" w:cs="Times New Roman"/>
                <w:b/>
                <w:bCs/>
                <w:sz w:val="24"/>
                <w:szCs w:val="24"/>
              </w:rPr>
              <w:t>哪些调整</w:t>
            </w:r>
            <w:r>
              <w:rPr>
                <w:rFonts w:ascii="Times New Roman" w:hAnsi="Times New Roman" w:cs="Times New Roman"/>
                <w:b/>
                <w:bCs/>
                <w:sz w:val="24"/>
                <w:szCs w:val="24"/>
              </w:rPr>
              <w:t>？</w:t>
            </w:r>
          </w:p>
          <w:p w14:paraId="2C5274A9">
            <w:pPr>
              <w:widowControl/>
              <w:adjustRightInd w:val="0"/>
              <w:snapToGrid w:val="0"/>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回复</w:t>
            </w:r>
            <w:r>
              <w:rPr>
                <w:rFonts w:ascii="Times New Roman" w:hAnsi="Times New Roman" w:cs="Times New Roman"/>
                <w:sz w:val="24"/>
                <w:szCs w:val="24"/>
              </w:rPr>
              <w:t>：</w:t>
            </w:r>
            <w:r>
              <w:rPr>
                <w:rFonts w:hint="eastAsia" w:ascii="Times New Roman" w:hAnsi="Times New Roman" w:cs="Times New Roman"/>
                <w:sz w:val="24"/>
                <w:szCs w:val="24"/>
              </w:rPr>
              <w:t>因</w:t>
            </w:r>
            <w:r>
              <w:rPr>
                <w:rFonts w:ascii="Times New Roman" w:hAnsi="Times New Roman" w:cs="Times New Roman"/>
                <w:sz w:val="24"/>
                <w:szCs w:val="24"/>
              </w:rPr>
              <w:t>董事会任期届满完成换届，公司聘任张鑫鑫先生、吴晶女士、Peter Paul Maritz先生为轮值总经理，由三人组成轮值小组，按照集体决策机制共同承担总经理管理职责。其中Peter Paul Maritz先生分管全球运营中心，重点统筹全球产能布局与海外工厂建设，推进自动化产线升级及成熟制造能力的跨基地复制，提升海外本地化供应、全球交付及成本管控能力，为公司全球业务拓展提供支撑。</w:t>
            </w:r>
          </w:p>
          <w:p w14:paraId="2F116C38">
            <w:pPr>
              <w:widowControl/>
              <w:adjustRightInd w:val="0"/>
              <w:snapToGrid w:val="0"/>
              <w:spacing w:line="360" w:lineRule="auto"/>
              <w:ind w:firstLine="482" w:firstLineChars="200"/>
              <w:rPr>
                <w:rFonts w:ascii="Times New Roman" w:hAnsi="Times New Roman" w:cs="Times New Roman"/>
                <w:b/>
                <w:bCs/>
                <w:sz w:val="24"/>
                <w:szCs w:val="24"/>
              </w:rPr>
            </w:pPr>
            <w:r>
              <w:rPr>
                <w:rFonts w:hint="eastAsia" w:ascii="Times New Roman" w:hAnsi="Times New Roman" w:cs="Times New Roman"/>
                <w:b/>
                <w:bCs/>
                <w:sz w:val="24"/>
                <w:szCs w:val="24"/>
              </w:rPr>
              <w:t>9、</w:t>
            </w:r>
            <w:r>
              <w:rPr>
                <w:rFonts w:ascii="Times New Roman" w:hAnsi="Times New Roman" w:cs="Times New Roman"/>
                <w:b/>
                <w:bCs/>
                <w:sz w:val="24"/>
                <w:szCs w:val="24"/>
              </w:rPr>
              <w:t>海外业务规模持续增长背景下，公司采取哪些举措管控汇率波动带来的风险？</w:t>
            </w:r>
          </w:p>
          <w:p w14:paraId="55AACA43">
            <w:pPr>
              <w:adjustRightInd w:val="0"/>
              <w:snapToGrid w:val="0"/>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回复：</w:t>
            </w:r>
            <w:r>
              <w:rPr>
                <w:rFonts w:ascii="Times New Roman" w:hAnsi="Times New Roman" w:cs="Times New Roman"/>
                <w:sz w:val="24"/>
                <w:szCs w:val="24"/>
              </w:rPr>
              <w:t>在海外业务规模持续增长背景下，公司高度重视汇率波动带来的风险，严格遵循风险中性原则开展汇率风险管理。一是在商务谈判阶段合理约定贸易结算条款，结合不同区域客户情况优选结算币种，优化外币收入币种结构；二是做好外币应收款回款节奏统筹管理，合理规划结汇时点；三是在内部制度、审批额度及合规框架内，审慎运用远期结汇等套期保值工具，对冲外币应收形成的汇率风险敞口；四是持续跟踪主要经济体货币政策与汇率走势，定期评估敞口规模、复盘套保执行效果，动态调整管理策略，多措并举降低汇率波动对公司经营成果的影响。</w:t>
            </w:r>
          </w:p>
        </w:tc>
      </w:tr>
      <w:bookmarkEnd w:id="0"/>
      <w:bookmarkEnd w:id="1"/>
    </w:tbl>
    <w:p w14:paraId="19B02557">
      <w:pPr>
        <w:tabs>
          <w:tab w:val="left" w:pos="4875"/>
        </w:tabs>
        <w:spacing w:after="50" w:line="360" w:lineRule="auto"/>
        <w:ind w:firstLine="480" w:firstLineChars="200"/>
        <w:jc w:val="right"/>
        <w:rPr>
          <w:rFonts w:ascii="Times New Roman" w:hAnsi="Times New Roman" w:cs="Times New Roman"/>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E320C">
    <w:pPr>
      <w:pStyle w:val="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5</w:t>
    </w:r>
    <w:r>
      <w:rPr>
        <w:rFonts w:ascii="Times New Roman" w:hAnsi="Times New Roman" w:cs="Times New Roman"/>
      </w:rPr>
      <w:fldChar w:fldCharType="end"/>
    </w:r>
  </w:p>
  <w:p w14:paraId="09C95F38">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D21"/>
    <w:rsid w:val="00007AB2"/>
    <w:rsid w:val="000812C0"/>
    <w:rsid w:val="000C1E30"/>
    <w:rsid w:val="000F53B3"/>
    <w:rsid w:val="00101DF7"/>
    <w:rsid w:val="0016390F"/>
    <w:rsid w:val="0018123E"/>
    <w:rsid w:val="00183AD8"/>
    <w:rsid w:val="001D4F1C"/>
    <w:rsid w:val="001F4C0F"/>
    <w:rsid w:val="002416A8"/>
    <w:rsid w:val="00261647"/>
    <w:rsid w:val="00271E57"/>
    <w:rsid w:val="00274BFA"/>
    <w:rsid w:val="002761DD"/>
    <w:rsid w:val="00312264"/>
    <w:rsid w:val="00356138"/>
    <w:rsid w:val="00386D78"/>
    <w:rsid w:val="0038728F"/>
    <w:rsid w:val="003D586E"/>
    <w:rsid w:val="00413307"/>
    <w:rsid w:val="00414393"/>
    <w:rsid w:val="00423D21"/>
    <w:rsid w:val="00443661"/>
    <w:rsid w:val="004823EE"/>
    <w:rsid w:val="00495618"/>
    <w:rsid w:val="004A787A"/>
    <w:rsid w:val="004E6A57"/>
    <w:rsid w:val="004E75CE"/>
    <w:rsid w:val="0055166F"/>
    <w:rsid w:val="00566EEB"/>
    <w:rsid w:val="00577F6F"/>
    <w:rsid w:val="005F367A"/>
    <w:rsid w:val="005F5FD5"/>
    <w:rsid w:val="00655AF1"/>
    <w:rsid w:val="00656FEB"/>
    <w:rsid w:val="00683067"/>
    <w:rsid w:val="00691F5F"/>
    <w:rsid w:val="006A1F82"/>
    <w:rsid w:val="006B21D2"/>
    <w:rsid w:val="006C3382"/>
    <w:rsid w:val="006D23C6"/>
    <w:rsid w:val="006D39C3"/>
    <w:rsid w:val="006E69E7"/>
    <w:rsid w:val="0076257F"/>
    <w:rsid w:val="007806DA"/>
    <w:rsid w:val="00781C35"/>
    <w:rsid w:val="007C202A"/>
    <w:rsid w:val="007C49F2"/>
    <w:rsid w:val="007E5651"/>
    <w:rsid w:val="00814A24"/>
    <w:rsid w:val="00873598"/>
    <w:rsid w:val="00873B9E"/>
    <w:rsid w:val="0096425C"/>
    <w:rsid w:val="009677DD"/>
    <w:rsid w:val="00970C54"/>
    <w:rsid w:val="00973CE1"/>
    <w:rsid w:val="00980E95"/>
    <w:rsid w:val="009812F8"/>
    <w:rsid w:val="00A34484"/>
    <w:rsid w:val="00B27C13"/>
    <w:rsid w:val="00B60697"/>
    <w:rsid w:val="00BF29F7"/>
    <w:rsid w:val="00C25DA6"/>
    <w:rsid w:val="00CB2498"/>
    <w:rsid w:val="00CF3FAF"/>
    <w:rsid w:val="00D12992"/>
    <w:rsid w:val="00D12A9B"/>
    <w:rsid w:val="00D4234A"/>
    <w:rsid w:val="00D64789"/>
    <w:rsid w:val="00E0622D"/>
    <w:rsid w:val="00E54B95"/>
    <w:rsid w:val="00E56BEE"/>
    <w:rsid w:val="00E806FB"/>
    <w:rsid w:val="00EA49F9"/>
    <w:rsid w:val="00ED626C"/>
    <w:rsid w:val="00EF0BC7"/>
    <w:rsid w:val="00F57454"/>
    <w:rsid w:val="00F7090F"/>
    <w:rsid w:val="00F73D79"/>
    <w:rsid w:val="00F82AE1"/>
    <w:rsid w:val="00F82FA8"/>
    <w:rsid w:val="00F83E6D"/>
    <w:rsid w:val="00F910E6"/>
    <w:rsid w:val="00FB5AE5"/>
    <w:rsid w:val="00FD176C"/>
    <w:rsid w:val="00FD7511"/>
    <w:rsid w:val="00FF4A78"/>
    <w:rsid w:val="00FF5408"/>
    <w:rsid w:val="00FF6B21"/>
    <w:rsid w:val="0A592DE5"/>
    <w:rsid w:val="1CB05E54"/>
    <w:rsid w:val="61A45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qFormat/>
    <w:uiPriority w:val="99"/>
    <w:pPr>
      <w:jc w:val="left"/>
    </w:pPr>
  </w:style>
  <w:style w:type="paragraph" w:styleId="3">
    <w:name w:val="Balloon Text"/>
    <w:basedOn w:val="1"/>
    <w:link w:val="16"/>
    <w:qFormat/>
    <w:uiPriority w:val="99"/>
    <w:rPr>
      <w:sz w:val="18"/>
      <w:szCs w:val="18"/>
    </w:rPr>
  </w:style>
  <w:style w:type="paragraph" w:styleId="4">
    <w:name w:val="footer"/>
    <w:basedOn w:val="1"/>
    <w:link w:val="14"/>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7">
    <w:name w:val="annotation subject"/>
    <w:basedOn w:val="2"/>
    <w:next w:val="2"/>
    <w:link w:val="18"/>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styleId="12">
    <w:name w:val="annotation reference"/>
    <w:basedOn w:val="10"/>
    <w:qFormat/>
    <w:uiPriority w:val="99"/>
    <w:rPr>
      <w:sz w:val="21"/>
      <w:szCs w:val="21"/>
    </w:rPr>
  </w:style>
  <w:style w:type="character" w:customStyle="1" w:styleId="13">
    <w:name w:val="页眉 字符"/>
    <w:basedOn w:val="10"/>
    <w:link w:val="5"/>
    <w:qFormat/>
    <w:uiPriority w:val="99"/>
    <w:rPr>
      <w:sz w:val="18"/>
      <w:szCs w:val="18"/>
    </w:rPr>
  </w:style>
  <w:style w:type="character" w:customStyle="1" w:styleId="14">
    <w:name w:val="页脚 字符"/>
    <w:basedOn w:val="10"/>
    <w:link w:val="4"/>
    <w:qFormat/>
    <w:uiPriority w:val="99"/>
    <w:rPr>
      <w:sz w:val="18"/>
      <w:szCs w:val="18"/>
    </w:rPr>
  </w:style>
  <w:style w:type="paragraph" w:styleId="15">
    <w:name w:val="List Paragraph"/>
    <w:basedOn w:val="1"/>
    <w:qFormat/>
    <w:uiPriority w:val="34"/>
    <w:pPr>
      <w:ind w:firstLine="420" w:firstLineChars="200"/>
    </w:pPr>
  </w:style>
  <w:style w:type="character" w:customStyle="1" w:styleId="16">
    <w:name w:val="批注框文本 字符"/>
    <w:basedOn w:val="10"/>
    <w:link w:val="3"/>
    <w:qFormat/>
    <w:uiPriority w:val="99"/>
    <w:rPr>
      <w:sz w:val="18"/>
      <w:szCs w:val="18"/>
    </w:rPr>
  </w:style>
  <w:style w:type="character" w:customStyle="1" w:styleId="17">
    <w:name w:val="批注文字 字符"/>
    <w:basedOn w:val="10"/>
    <w:link w:val="2"/>
    <w:qFormat/>
    <w:uiPriority w:val="99"/>
    <w:rPr>
      <w:kern w:val="2"/>
      <w:sz w:val="21"/>
      <w:szCs w:val="22"/>
    </w:rPr>
  </w:style>
  <w:style w:type="character" w:customStyle="1" w:styleId="18">
    <w:name w:val="批注主题 字符"/>
    <w:basedOn w:val="17"/>
    <w:link w:val="7"/>
    <w:qFormat/>
    <w:uiPriority w:val="99"/>
    <w:rPr>
      <w:b/>
      <w:bCs/>
      <w:kern w:val="2"/>
      <w:sz w:val="21"/>
      <w:szCs w:val="22"/>
    </w:rPr>
  </w:style>
  <w:style w:type="character" w:customStyle="1" w:styleId="19">
    <w:name w:val="ybc-li-component_content"/>
    <w:basedOn w:val="10"/>
    <w:qFormat/>
    <w:uiPriority w:val="0"/>
  </w:style>
  <w:style w:type="character" w:customStyle="1" w:styleId="20">
    <w:name w:val="hyc-common-markdown__replace-meeting-chat"/>
    <w:basedOn w:val="10"/>
    <w:qFormat/>
    <w:uiPriority w:val="0"/>
  </w:style>
  <w:style w:type="character" w:customStyle="1" w:styleId="21">
    <w:name w:val="ybc-li-component_dot"/>
    <w:basedOn w:val="10"/>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3741</Words>
  <Characters>4140</Characters>
  <Lines>31</Lines>
  <Paragraphs>8</Paragraphs>
  <TotalTime>9402</TotalTime>
  <ScaleCrop>false</ScaleCrop>
  <LinksUpToDate>false</LinksUpToDate>
  <CharactersWithSpaces>4204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2025-04-29T03:54:00Z</dcterms:created>
  <dc:creator>Xhyu 向洪玉</dc:creator>
  <cp:lastModifiedBy>笑靥</cp:lastModifiedBy>
  <cp:lastPrinted>2022-01-30T03:37:00Z</cp:lastPrinted>
  <dcterms:modified xsi:type="dcterms:W3CDTF">2026-11-06T06:29:01Z</dcterms:modified>
  <cp:revision>761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38A99732B699426ABDE2C8E368D154C9_12</vt:lpwstr>
  </property>
  <property fmtid="{D5CDD505-2E9C-101B-9397-08002B2CF9AE}" pid="4" name="KSOTemplateDocerSaveRecord">
    <vt:lpwstr>eyJoZGlkIjoiOGNmYjNmNWJlODI1YmMxYzlmNGZlMzg0ZWE2NDNiMDAiLCJ1c2VySWQiOiI3MzA4NzMzMTkifQ==</vt:lpwstr>
  </property>
</Properties>
</file>