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0561C">
      <w:pPr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</w:rPr>
        <w:t>证券代码：6</w:t>
      </w:r>
      <w:r>
        <w:rPr>
          <w:rFonts w:ascii="宋体" w:hAnsi="宋体" w:eastAsia="宋体"/>
          <w:sz w:val="24"/>
          <w:szCs w:val="24"/>
        </w:rPr>
        <w:t xml:space="preserve">03337                                   </w:t>
      </w:r>
      <w:r>
        <w:rPr>
          <w:rFonts w:hint="eastAsia" w:ascii="宋体" w:hAnsi="宋体" w:eastAsia="宋体"/>
          <w:sz w:val="24"/>
          <w:szCs w:val="24"/>
        </w:rPr>
        <w:t>证券简称：杰克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科技</w:t>
      </w:r>
    </w:p>
    <w:p w14:paraId="12BDEE04">
      <w:pPr>
        <w:rPr>
          <w:rFonts w:ascii="宋体" w:hAnsi="宋体" w:eastAsia="宋体"/>
          <w:sz w:val="24"/>
          <w:szCs w:val="24"/>
        </w:rPr>
      </w:pPr>
    </w:p>
    <w:p w14:paraId="14146363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杰克科技股份有限公司</w:t>
      </w:r>
    </w:p>
    <w:p w14:paraId="307E8D4C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投资者关系活动记录表</w:t>
      </w:r>
    </w:p>
    <w:p w14:paraId="7D5D879A">
      <w:pPr>
        <w:rPr>
          <w:rFonts w:ascii="宋体" w:hAnsi="宋体" w:eastAsia="宋体"/>
          <w:sz w:val="24"/>
          <w:szCs w:val="24"/>
        </w:rPr>
      </w:pPr>
    </w:p>
    <w:p w14:paraId="77791364">
      <w:pPr>
        <w:jc w:val="righ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编号：202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6-004</w:t>
      </w:r>
    </w:p>
    <w:tbl>
      <w:tblPr>
        <w:tblStyle w:val="6"/>
        <w:tblW w:w="8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6487"/>
      </w:tblGrid>
      <w:tr w14:paraId="20F2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22042B54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投资者关系</w:t>
            </w:r>
          </w:p>
          <w:p w14:paraId="2668E889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活动类别</w:t>
            </w:r>
          </w:p>
        </w:tc>
        <w:tc>
          <w:tcPr>
            <w:tcW w:w="6487" w:type="dxa"/>
            <w:shd w:val="clear" w:color="auto" w:fill="auto"/>
            <w:vAlign w:val="center"/>
          </w:tcPr>
          <w:p w14:paraId="04CAE132">
            <w:pPr>
              <w:tabs>
                <w:tab w:val="left" w:pos="3045"/>
                <w:tab w:val="center" w:pos="3199"/>
              </w:tabs>
              <w:spacing w:line="360" w:lineRule="auto"/>
              <w:jc w:val="both"/>
              <w:rPr>
                <w:rFonts w:hint="default" w:ascii="宋体" w:hAnsi="宋体" w:eastAsia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>业绩说明会</w:t>
            </w:r>
          </w:p>
        </w:tc>
      </w:tr>
      <w:tr w14:paraId="5DC0E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65708B3C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活动主题</w:t>
            </w:r>
          </w:p>
        </w:tc>
        <w:tc>
          <w:tcPr>
            <w:tcW w:w="6487" w:type="dxa"/>
            <w:shd w:val="clear" w:color="auto" w:fill="auto"/>
            <w:vAlign w:val="center"/>
          </w:tcPr>
          <w:p w14:paraId="37600A8D">
            <w:pPr>
              <w:spacing w:line="360" w:lineRule="auto"/>
              <w:jc w:val="both"/>
              <w:rPr>
                <w:rFonts w:ascii="宋体" w:hAnsi="宋体" w:eastAsia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杰克科技2026年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第三季度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业绩说明会</w:t>
            </w:r>
          </w:p>
        </w:tc>
      </w:tr>
      <w:tr w14:paraId="73C2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70A34522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时  间</w:t>
            </w:r>
          </w:p>
        </w:tc>
        <w:tc>
          <w:tcPr>
            <w:tcW w:w="6487" w:type="dxa"/>
            <w:shd w:val="clear" w:color="auto" w:fill="auto"/>
            <w:vAlign w:val="top"/>
          </w:tcPr>
          <w:p w14:paraId="5A7F0C7F">
            <w:pPr>
              <w:spacing w:line="360" w:lineRule="auto"/>
              <w:rPr>
                <w:rFonts w:ascii="宋体" w:hAnsi="宋体" w:eastAsia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20</w:t>
            </w:r>
            <w:r>
              <w:rPr>
                <w:rFonts w:ascii="宋体" w:hAnsi="宋体" w:eastAsia="宋体"/>
                <w:bCs/>
                <w:iCs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>11月6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 xml:space="preserve"> 13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:0</w:t>
            </w:r>
            <w:r>
              <w:rPr>
                <w:rFonts w:ascii="宋体" w:hAnsi="宋体" w:eastAsia="宋体"/>
                <w:bCs/>
                <w:i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-</w:t>
            </w:r>
            <w:r>
              <w:rPr>
                <w:rFonts w:ascii="宋体" w:hAnsi="宋体" w:eastAsia="宋体"/>
                <w:bCs/>
                <w:i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  <w:lang w:val="en-US" w:eastAsia="zh-CN"/>
              </w:rPr>
              <w:t>0</w:t>
            </w:r>
            <w:r>
              <w:rPr>
                <w:rFonts w:ascii="宋体" w:hAnsi="宋体" w:eastAsia="宋体"/>
                <w:bCs/>
                <w:iCs/>
                <w:sz w:val="24"/>
                <w:szCs w:val="24"/>
              </w:rPr>
              <w:t>0</w:t>
            </w:r>
          </w:p>
        </w:tc>
      </w:tr>
      <w:tr w14:paraId="01C27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2F10A681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地点/方式</w:t>
            </w:r>
          </w:p>
        </w:tc>
        <w:tc>
          <w:tcPr>
            <w:tcW w:w="6487" w:type="dxa"/>
            <w:shd w:val="clear" w:color="auto" w:fill="auto"/>
            <w:vAlign w:val="top"/>
          </w:tcPr>
          <w:p w14:paraId="2ECE3685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 xml:space="preserve">上证路演中心 </w:t>
            </w: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instrText xml:space="preserve"> HYPERLINK "https://roadshow.sseinfo.com" </w:instrText>
            </w: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>https://roadshow.sseinfo.com</w:t>
            </w: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fldChar w:fldCharType="end"/>
            </w:r>
          </w:p>
          <w:p w14:paraId="349A4576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>网络文字互动</w:t>
            </w:r>
          </w:p>
        </w:tc>
      </w:tr>
      <w:tr w14:paraId="2F4E8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106FCDCC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参会人员</w:t>
            </w:r>
          </w:p>
        </w:tc>
        <w:tc>
          <w:tcPr>
            <w:tcW w:w="6487" w:type="dxa"/>
            <w:shd w:val="clear" w:color="auto" w:fill="auto"/>
          </w:tcPr>
          <w:p w14:paraId="5A44E455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>董事长：阮积祥</w:t>
            </w:r>
          </w:p>
          <w:p w14:paraId="0C76A21F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>副董事长、副总裁兼董事会秘书：谢云娇</w:t>
            </w:r>
          </w:p>
          <w:p w14:paraId="4C6E6286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  <w:lang w:val="en-US" w:eastAsia="zh-CN"/>
              </w:rPr>
              <w:t>独立董事：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屈哲锋</w:t>
            </w:r>
          </w:p>
          <w:p w14:paraId="39A62F6E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sz w:val="24"/>
                <w:szCs w:val="24"/>
              </w:rPr>
              <w:t>财务总监：林美芳</w:t>
            </w:r>
          </w:p>
        </w:tc>
      </w:tr>
      <w:tr w14:paraId="33D6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019" w:type="dxa"/>
            <w:shd w:val="clear" w:color="auto" w:fill="auto"/>
            <w:vAlign w:val="center"/>
          </w:tcPr>
          <w:p w14:paraId="48A466F0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487" w:type="dxa"/>
            <w:shd w:val="clear" w:color="auto" w:fill="auto"/>
          </w:tcPr>
          <w:p w14:paraId="607653E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1、公司机器人业务目前的订单情况及客户试点落地进展如何？后续客户拓展的主要方向是什么？</w:t>
            </w:r>
          </w:p>
          <w:p w14:paraId="18A801E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答：尊敬的投资者您好！2026年10月28日，公司旗下艾图科技全球发布了人形缝制机器人“艾妮”及服装机器人产线“产线王”。发布会现场，公司与11家头部服装企业签署了机器人战略合作协议，与6家企业签署了产线王战略合作协议。目前，艾妮机器人已在多家国内服装企业开展试点落地。</w:t>
            </w:r>
          </w:p>
          <w:p w14:paraId="70AD49A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在业务推进节奏上，现阶段公司正与10-20家重点客户展开深度洽谈，旨在识别匹配的落地场景及后续推进计划，集中精力打造标杆项目，再逐步扩大推广。提醒投资者注意，机器人业务尚处商业化早期，目前的意向签约尚需逐步转化，具体进展请以公司公告及定期报告为准，敬请投资者注意投资风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险。感谢您的关注！</w:t>
            </w:r>
          </w:p>
          <w:p w14:paraId="02DD052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2、</w:t>
            </w:r>
            <w:r>
              <w:rPr>
                <w:rFonts w:hint="default"/>
                <w:b/>
                <w:bCs/>
                <w:lang w:val="en-US" w:eastAsia="zh-CN"/>
              </w:rPr>
              <w:t>请问公司在人形机器人新业务与缝制设备主业之间如何分配资源？未来在研发投入上的整体节奏和规划是怎样的？</w:t>
            </w:r>
          </w:p>
          <w:p w14:paraId="14DCECE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答：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公司坚持“主业托底、新业务赋能”的原则，缝制主业作为盈利与现金流的基本盘，持续提供稳定的利润与资金支撑；机器人业务作为公司的第二增长曲线，两者定位清晰、协同发展。根据公司战略发展规划，公司资源重点向AI、数字化成套、艾妮机器人及产线王倾斜，相关研发由艾图科技统筹运作。公司保持较高强度的研发投入，前三季度研发费用同比增长20.31%，重点投向AI视觉识别、智能控制算法及机器人研发方向，着力构建长期竞争力。整体投入将根据技术验证与商业化落地进度动态优化，确保资源分配与研发转化效率的平衡。感谢您的关注！</w:t>
            </w:r>
          </w:p>
          <w:p w14:paraId="3E9B469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3、</w:t>
            </w:r>
            <w:r>
              <w:rPr>
                <w:rFonts w:hint="default"/>
                <w:b/>
                <w:bCs/>
                <w:lang w:val="en-US" w:eastAsia="zh-CN"/>
              </w:rPr>
              <w:t>请问如何看待当前缝制设备行业的周期位置？判断行业周期回暖应该重点观察哪些先导指标？</w:t>
            </w:r>
          </w:p>
          <w:p w14:paraId="5B319CC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缝制设备行业的景气度紧跟下游纺织服装企业的资本开支节奏。当前下游终端消费分化，中小加工厂投资意愿承压，行业整体处于偏弱阶段；在此背景下，公司凭借产品与渠道优势，营收表现优于行业大盘。周期回暖可跟踪以下先导指标：一是头部服装品牌的库存周转情况；二是海内外工厂的询单及看机活跃度；三是产业转移区域新增建厂与设备采购节奏；四是存量设备更新需求的释放力度。整体而言，下游资本开支信心的修复是行业回暖的核心前提。感谢您的关注！</w:t>
            </w:r>
          </w:p>
          <w:p w14:paraId="654F94F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4、</w:t>
            </w:r>
            <w:r>
              <w:rPr>
                <w:rFonts w:hint="default"/>
                <w:b/>
                <w:bCs/>
                <w:lang w:val="en-US" w:eastAsia="zh-CN"/>
              </w:rPr>
              <w:t>公司2026年已收购意大利Comelz及博克科技，持续完善服装智能制造产业链。请问在工业机器人、机器视觉、智能控制及工业软件领域，是否仍存在通过外部股权投资或控股并购补充核心技术、成熟产品及产业能力的实际需求</w:t>
            </w:r>
            <w:r>
              <w:rPr>
                <w:rFonts w:hint="eastAsia"/>
                <w:b/>
                <w:bCs/>
                <w:lang w:val="en-US" w:eastAsia="zh-CN"/>
              </w:rPr>
              <w:t>？</w:t>
            </w:r>
          </w:p>
          <w:p w14:paraId="18071E4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继Comelz、博克科技收购落地后，公司持续深耕服装智能制造全链条。工业机器人、机器视觉、智能控制、工业软件属于智能制造的底层关键能力，长期来看存在协同布局的潜在空间。公司坚持自主研发为主，并结合产教融合、客户联合创新以及外部投资并购等方式，强化研发投入，并以开放心态开展对外合作，筛选评估产业链优质标的，灵活运用股权投资、并购等方式补强技术与产品能力。目前暂无应披露未披露的投资并购计划，一切以公司公告为准。感谢您的关注！</w:t>
            </w:r>
          </w:p>
          <w:p w14:paraId="61F9B33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5、</w:t>
            </w:r>
            <w:r>
              <w:rPr>
                <w:rFonts w:hint="default"/>
                <w:b/>
                <w:bCs/>
                <w:lang w:val="en-US" w:eastAsia="zh-CN"/>
              </w:rPr>
              <w:t>请问，公司是缝制机械的全球龙头之一，出口占比很高。想请教今年东南亚、南亚、非洲等区域的需求表现如何？在关税和贸易政策变化下，交付和结算有没有调整？</w:t>
            </w:r>
          </w:p>
          <w:p w14:paraId="41D7579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东南亚、南亚作为全球纺织服装主要产区，是公司外销的核心市场，今年区域需求呈现结构性分化：传统成熟市场以设备更新换代需求为主，部分新兴产区新增产能带来增量订单；非洲市场潜力较大，但目前整体体量有限，公司持续进行渠道与客户培育，需求存在一定波动性。</w:t>
            </w:r>
          </w:p>
          <w:p w14:paraId="40724B8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针对关税及贸易规则的变化，公司持续跟踪各区域政策动态，并在交付模式、贸易条款上动态优化；结算端保持以美元为主的结算体系，严格落实汇率风控与客户信用管理，针对不同市场设置差异化的账期与结算工具，有效控制回款与汇兑风险。感谢您的关注！</w:t>
            </w:r>
          </w:p>
          <w:p w14:paraId="1F47187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6、</w:t>
            </w:r>
            <w:r>
              <w:rPr>
                <w:rFonts w:hint="default"/>
                <w:b/>
                <w:bCs/>
                <w:lang w:val="en-US" w:eastAsia="zh-CN"/>
              </w:rPr>
              <w:t>关注到公司三季报营收实现增长但利润承压，请问导致这一情况的核心影响因素有哪些？目前公司主业经营是否发生了变化？</w:t>
            </w:r>
          </w:p>
          <w:p w14:paraId="3DBE87F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2026年前三季度公司营收55.56亿元，同比增长11.87%，但归母净利润5.76亿元，同比下降15.56%。利润承压的核心影响因素主要有三方面：一是公司持续加大AI数字成套、人形机器人等前沿业务的研发投入，前三季度研发费用同比增长20.31%；二是人民币持续升值带来汇兑损失；三是核心材料价格上行推高成本，产品调价未能完全对冲，同时销售结构变化也对毛利率产生一定影响。剔除上述扰动，公司缝制主业经营保持稳健，基本面未发生恶化，三季度毛利率32.54%，环比保持稳定。公司正通过产品升级，组合结构优化与运营效益提升对冲压力。感谢您的关注！</w:t>
            </w:r>
          </w:p>
          <w:p w14:paraId="3CBEACE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7、</w:t>
            </w:r>
            <w:r>
              <w:rPr>
                <w:rFonts w:hint="default"/>
                <w:b/>
                <w:bCs/>
                <w:lang w:val="en-US" w:eastAsia="zh-CN"/>
              </w:rPr>
              <w:t>请问公司目前国内外经营现状如何？海外业务当前主要面临哪些压力，公司采取了哪些应对举措？</w:t>
            </w:r>
          </w:p>
          <w:p w14:paraId="4A78E18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公司坚持“主业托底、新业务赋能”的原则，缝制主业作为盈利与现金流的基本盘，持续提供稳定的利润与资金支撑；机器人业务作为公司的第二增长曲线，两者定位清晰、协同发展。根据公司战略发展规划，公司资源重点向AI、数字化成套、艾妮机器人及产线王倾斜，相关研发由艾图科技统筹运作。公司保持较高强度的研发投入，前三季度研发费用同比增长20.31%，重点投向AI视觉识别、智能控制算法及机器人研发方向，着力构建长期竞争力。整体投入将根据技术验证与商业化落地进度动态优化，确保资源分配与研发转化效率的平衡。感谢您的关注！</w:t>
            </w:r>
          </w:p>
          <w:p w14:paraId="49B41F1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8、请问收购Comelz并表后，公司预计能发挥哪些协同价值？在后续整合过程中主要面临哪些挑战？</w:t>
            </w:r>
          </w:p>
          <w:p w14:paraId="4AF0CEA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答：尊敬的投资者您好！公司全资子公司已于2026年7月23日完成对意大利Comelz S.p.A.100%股权交割并纳入合并报表，确认并购商誉4.25亿元。并表后补齐了公司在高端皮革裁剪设备品类与欧洲本土市场的短板，完善了全球化产品矩阵。</w:t>
            </w:r>
          </w:p>
          <w:p w14:paraId="645F14D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协同价值主要体现在：共享全球客户资源实现交叉销售、联合优化供应链采购降低成本、借助Comelz强化欧洲高端客群并改善整体客群结构，同时推动公司数字成套产线由服装向鞋类、包袋、汽车内饰等皮革领域延伸。整合挑战主要包括海外团队管理与两地业务体系融合、汇率波动对海外资产及报表利润的影响，以及并购带来的商誉影响和中介咨询费用对短期利润的扰动。公司秉持保持原有团队、品牌及运营独立性的原则稳步推进整合，相关重要信息将严格按规定履行信息披露义务。感谢您的关注！</w:t>
            </w:r>
          </w:p>
          <w:p w14:paraId="4FFA8BE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9、</w:t>
            </w:r>
            <w:r>
              <w:rPr>
                <w:rFonts w:hint="default"/>
                <w:b/>
                <w:bCs/>
                <w:lang w:val="en-US" w:eastAsia="zh-CN"/>
              </w:rPr>
              <w:t>请问公司数字成套业务目前发展情况如何？未来的增长空间有多大？在推进过程中主要面临哪些阻碍？</w:t>
            </w:r>
          </w:p>
          <w:p w14:paraId="555CCB3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公司成套业务顺应服装行业小单快反、柔性生产趋势，目前发展态势良好，前三季度实现收入7.98亿元，同比增长39.4%，持续突破中大型客户。方案涵盖产线规划、软件系统与现场实施调试的整套服务，长期增长空间明确，主要来自中大型服装企业整厂智能化改造的存量替代，以及海外产能转移承接地新建工厂的增量配套需求。但在推进过程中，短期仍面临交付周期相对较长、交付成本较高、付款周期偏长，以及交付标准化有待持续优化等阻碍。为此，公司将持续迭代优化成套解决方案的产品力，提升针对不同客户的标准产品组合定制交付能力，全面覆盖大型整线改造与中小工厂轻量化改造需求。感谢您的关注！</w:t>
            </w:r>
          </w:p>
          <w:p w14:paraId="2876329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10</w:t>
            </w:r>
            <w:r>
              <w:rPr>
                <w:rFonts w:hint="eastAsia"/>
                <w:b/>
                <w:bCs/>
                <w:lang w:val="en-US" w:eastAsia="zh-CN"/>
              </w:rPr>
              <w:t>、</w:t>
            </w:r>
            <w:r>
              <w:rPr>
                <w:rFonts w:hint="default"/>
                <w:b/>
                <w:bCs/>
                <w:lang w:val="en-US" w:eastAsia="zh-CN"/>
              </w:rPr>
              <w:t>公司刚发布了人形缝制机器人艾妮，三季报称已进入商业化推广阶段。请问董事长，目前艾妮机器人是处于‘意向订单’阶段，还是已经产生了实际销售收入？如果有收入，Q3单季的机器人相关收入体量大概在什么级别？如果没有，预计首个有实质收入的季度在什么时候？</w:t>
            </w:r>
          </w:p>
          <w:p w14:paraId="6199940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目前艾妮机器人仍处于商业化推广的早期阶段，发布会现场签署的协议均为意向性合作协议，正式转化为带具体金额和交付期的正式销售订单，还需要对客户产品品类的具体场景调研、匹配以及商业洽谈等，对2026年当期业绩影响有限，具体经营数据请以公司后续披露的定期报告为准。敬请投资者理性看待，注意投资风险。感谢您的关注！</w:t>
            </w:r>
          </w:p>
          <w:p w14:paraId="4636F00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11、</w:t>
            </w:r>
            <w:r>
              <w:rPr>
                <w:rFonts w:hint="default"/>
                <w:b/>
                <w:bCs/>
                <w:lang w:val="en-US" w:eastAsia="zh-CN"/>
              </w:rPr>
              <w:t>单机业务随行业需求走弱，但数字成套解决方案前三季度收入7.98亿，同比增长39.4%。成套业务前三季度增长近四成，但公司此前调研提到订单转化周期要3到6个月。请问在Q3单季营收增速放缓的背景下，成套业务Q3单季的增速是否也出现了放缓？目前在手订单（或已中标未签约）的金额大概是多少？这块业务的毛利率相比单机是更高还是更低？</w:t>
            </w:r>
          </w:p>
          <w:p w14:paraId="0AB08EA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default"/>
                <w:b w:val="0"/>
                <w:bCs w:val="0"/>
                <w:lang w:val="en-US" w:eastAsia="zh-CN"/>
              </w:rPr>
              <w:t>答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尊敬的投资者您好！数字成套项目从订单转化至收入确认周期约 3-6 个月，收入确认受项目验收节奏影响，季度收入存在短期波动，前三季度数字成套业务收入7.98亿元，同比增长39.4%，商机拓展持续推进。成套解决方案融合软件与整线集成能力，中长期毛利率具备高于单机业务的空间，当前处于市场拓展阶段，随规模及软件服务占比提升，盈利结构有望持续优化。感谢您的关注！</w:t>
            </w:r>
          </w:p>
          <w:p w14:paraId="15BAD5F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12、</w:t>
            </w:r>
            <w:r>
              <w:rPr>
                <w:rFonts w:hint="default"/>
                <w:b/>
                <w:bCs/>
                <w:lang w:val="en-US" w:eastAsia="zh-CN"/>
              </w:rPr>
              <w:t>艾妮全球发布会现场签署了11家单机战略合作与6家产线合作。请问这些签约预计何时转化为带有具体金额和交付期的正式订单？公司对2026年机器人业务与成套业务的收入规模是否有指引？</w:t>
            </w:r>
          </w:p>
          <w:p w14:paraId="4ED72DD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答：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尊敬的投资者您好！发布会签署的11家单机战略合作与6家产线合作均为战略合作协议，后续落地主要取决于与客户的商业洽谈进度、具体场景订单的确定等。公司正与相关客户深度对接推进。公司前三季度成套业务实现收入7.98亿元，同比增长39.4%，机器人业务仍处商业化早期，对2026年当期业绩影响有限。后续如有达到信息披露标准的重要订单或经营数据，公司将严格按规定及时履行披露义务，敬请投资者注意投资风险。感谢您的关注！</w:t>
            </w:r>
          </w:p>
          <w:p w14:paraId="1FA3CCFF">
            <w:pPr>
              <w:pStyle w:val="4"/>
              <w:widowControl/>
              <w:spacing w:line="360" w:lineRule="auto"/>
              <w:jc w:val="both"/>
              <w:rPr>
                <w:rFonts w:hint="default"/>
              </w:rPr>
            </w:pPr>
          </w:p>
        </w:tc>
      </w:tr>
    </w:tbl>
    <w:p w14:paraId="7B9B1F3E"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yua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wOTNjYmJkMTg1ZjU3ODZiNTFiNTY5NzE0YTM1M2UifQ=="/>
  </w:docVars>
  <w:rsids>
    <w:rsidRoot w:val="00454C15"/>
    <w:rsid w:val="00023452"/>
    <w:rsid w:val="00043986"/>
    <w:rsid w:val="00043CC9"/>
    <w:rsid w:val="00106BAE"/>
    <w:rsid w:val="00126A8A"/>
    <w:rsid w:val="00143CCA"/>
    <w:rsid w:val="001A4DD7"/>
    <w:rsid w:val="001D159D"/>
    <w:rsid w:val="001E605E"/>
    <w:rsid w:val="00202BAE"/>
    <w:rsid w:val="00204AEE"/>
    <w:rsid w:val="00205A71"/>
    <w:rsid w:val="00221018"/>
    <w:rsid w:val="00221BB1"/>
    <w:rsid w:val="002353F1"/>
    <w:rsid w:val="003B1E4D"/>
    <w:rsid w:val="003C4200"/>
    <w:rsid w:val="004137A5"/>
    <w:rsid w:val="00454C15"/>
    <w:rsid w:val="0046070B"/>
    <w:rsid w:val="00462EB9"/>
    <w:rsid w:val="004721D2"/>
    <w:rsid w:val="004C7C33"/>
    <w:rsid w:val="00554A62"/>
    <w:rsid w:val="00572B12"/>
    <w:rsid w:val="00595BE0"/>
    <w:rsid w:val="005D183D"/>
    <w:rsid w:val="00620360"/>
    <w:rsid w:val="00633279"/>
    <w:rsid w:val="00662ECE"/>
    <w:rsid w:val="00680E9C"/>
    <w:rsid w:val="006E42D0"/>
    <w:rsid w:val="006F5048"/>
    <w:rsid w:val="0070702F"/>
    <w:rsid w:val="00715B9C"/>
    <w:rsid w:val="0072030D"/>
    <w:rsid w:val="00733AB4"/>
    <w:rsid w:val="00740AD7"/>
    <w:rsid w:val="00750465"/>
    <w:rsid w:val="007A02AC"/>
    <w:rsid w:val="007E2E2E"/>
    <w:rsid w:val="00806784"/>
    <w:rsid w:val="008335E4"/>
    <w:rsid w:val="0085202F"/>
    <w:rsid w:val="0088122A"/>
    <w:rsid w:val="008A73EF"/>
    <w:rsid w:val="008D615F"/>
    <w:rsid w:val="009432DC"/>
    <w:rsid w:val="009A1BB7"/>
    <w:rsid w:val="009F41CA"/>
    <w:rsid w:val="00A47179"/>
    <w:rsid w:val="00A85F60"/>
    <w:rsid w:val="00AE407E"/>
    <w:rsid w:val="00AF01BA"/>
    <w:rsid w:val="00B142CD"/>
    <w:rsid w:val="00B47E87"/>
    <w:rsid w:val="00B54FAC"/>
    <w:rsid w:val="00B62745"/>
    <w:rsid w:val="00B900AB"/>
    <w:rsid w:val="00B949CB"/>
    <w:rsid w:val="00BC0E2D"/>
    <w:rsid w:val="00BD1507"/>
    <w:rsid w:val="00BD605C"/>
    <w:rsid w:val="00BD7C3C"/>
    <w:rsid w:val="00BE13A2"/>
    <w:rsid w:val="00BF6C91"/>
    <w:rsid w:val="00C15E8E"/>
    <w:rsid w:val="00C8711C"/>
    <w:rsid w:val="00CA18D2"/>
    <w:rsid w:val="00D04F0C"/>
    <w:rsid w:val="00D434ED"/>
    <w:rsid w:val="00DA4F30"/>
    <w:rsid w:val="00DB15ED"/>
    <w:rsid w:val="00DF318D"/>
    <w:rsid w:val="00E15A6B"/>
    <w:rsid w:val="00E45EAE"/>
    <w:rsid w:val="00EA0E28"/>
    <w:rsid w:val="00ED2F3A"/>
    <w:rsid w:val="00ED326E"/>
    <w:rsid w:val="00ED36D3"/>
    <w:rsid w:val="00F06AEA"/>
    <w:rsid w:val="00FA4069"/>
    <w:rsid w:val="00FB0E16"/>
    <w:rsid w:val="00FC6B24"/>
    <w:rsid w:val="01707875"/>
    <w:rsid w:val="035C4023"/>
    <w:rsid w:val="0DE85E53"/>
    <w:rsid w:val="115A0E16"/>
    <w:rsid w:val="12347A37"/>
    <w:rsid w:val="18E53AEB"/>
    <w:rsid w:val="19CF7300"/>
    <w:rsid w:val="1A302405"/>
    <w:rsid w:val="1B824ED9"/>
    <w:rsid w:val="1BCB44A6"/>
    <w:rsid w:val="20AE0A03"/>
    <w:rsid w:val="21273D2C"/>
    <w:rsid w:val="236B50EC"/>
    <w:rsid w:val="268A5CC2"/>
    <w:rsid w:val="3155311F"/>
    <w:rsid w:val="31C95F96"/>
    <w:rsid w:val="32701AA9"/>
    <w:rsid w:val="36612309"/>
    <w:rsid w:val="3A6D787B"/>
    <w:rsid w:val="3B1875FF"/>
    <w:rsid w:val="3B997A08"/>
    <w:rsid w:val="3F7F006E"/>
    <w:rsid w:val="40751A93"/>
    <w:rsid w:val="48B843DB"/>
    <w:rsid w:val="534A5F90"/>
    <w:rsid w:val="53EC109A"/>
    <w:rsid w:val="5488054C"/>
    <w:rsid w:val="549849D4"/>
    <w:rsid w:val="5813155E"/>
    <w:rsid w:val="61A21264"/>
    <w:rsid w:val="638D13A9"/>
    <w:rsid w:val="668F1BBC"/>
    <w:rsid w:val="69353B0E"/>
    <w:rsid w:val="6A3B1D83"/>
    <w:rsid w:val="6C5A321C"/>
    <w:rsid w:val="6D104482"/>
    <w:rsid w:val="6D800290"/>
    <w:rsid w:val="6EAB3BD4"/>
    <w:rsid w:val="7070724C"/>
    <w:rsid w:val="7086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autoRedefine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5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2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3434</Words>
  <Characters>3600</Characters>
  <Lines>20</Lines>
  <Paragraphs>5</Paragraphs>
  <TotalTime>6</TotalTime>
  <ScaleCrop>false</ScaleCrop>
  <LinksUpToDate>false</LinksUpToDate>
  <CharactersWithSpaces>3640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2024-02-06T03:01:00Z</dcterms:created>
  <dc:creator>wu</dc:creator>
  <cp:lastModifiedBy>一二三四伍</cp:lastModifiedBy>
  <dcterms:modified xsi:type="dcterms:W3CDTF">2026-11-06T07:06:01Z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CA4398202E6F4026BB918CF9C59C25EE_13</vt:lpwstr>
  </property>
  <property fmtid="{D5CDD505-2E9C-101B-9397-08002B2CF9AE}" pid="4" name="KSOTemplateDocerSaveRecord">
    <vt:lpwstr>eyJoZGlkIjoiNzI1MzljODBiNDliMzEyMzFlZWNlN2EzYjU0N2YzMWEiLCJ1c2VySWQiOiIxMzA1ODgwMDAyIn0=</vt:lpwstr>
  </property>
</Properties>
</file>