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BF972">
      <w:pPr>
        <w:spacing w:before="156" w:beforeLines="50" w:after="156" w:afterLines="50" w:line="400" w:lineRule="exact"/>
        <w:rPr>
          <w:rFonts w:cs="Times New Roman"/>
          <w:bCs/>
          <w:iCs/>
          <w:color w:val="000000"/>
          <w:szCs w:val="24"/>
        </w:rPr>
      </w:pPr>
      <w:r>
        <w:rPr>
          <w:rFonts w:hAnsi="宋体" w:cs="Times New Roman"/>
          <w:bCs/>
          <w:iCs/>
          <w:color w:val="000000"/>
          <w:szCs w:val="24"/>
        </w:rPr>
        <w:t>证券代码：</w:t>
      </w:r>
      <w:r>
        <w:rPr>
          <w:rFonts w:cs="Times New Roman"/>
          <w:bCs/>
          <w:iCs/>
          <w:color w:val="000000"/>
          <w:szCs w:val="24"/>
        </w:rPr>
        <w:t>600579</w:t>
      </w:r>
      <w:r>
        <w:rPr>
          <w:rFonts w:cs="Times New Roman"/>
          <w:color w:val="000000"/>
          <w:szCs w:val="24"/>
        </w:rPr>
        <w:t xml:space="preserve">                           </w:t>
      </w:r>
      <w:r>
        <w:rPr>
          <w:rFonts w:hint="eastAsia" w:cs="Times New Roman"/>
          <w:color w:val="000000"/>
          <w:szCs w:val="24"/>
        </w:rPr>
        <w:t xml:space="preserve">   </w:t>
      </w:r>
      <w:r>
        <w:rPr>
          <w:rFonts w:hAnsi="宋体" w:cs="Times New Roman"/>
          <w:bCs/>
          <w:iCs/>
          <w:color w:val="000000"/>
          <w:szCs w:val="24"/>
        </w:rPr>
        <w:t>证券简称：</w:t>
      </w:r>
      <w:r>
        <w:rPr>
          <w:rFonts w:hint="eastAsia" w:cs="Times New Roman"/>
          <w:color w:val="000000"/>
          <w:szCs w:val="24"/>
        </w:rPr>
        <w:t>中化装备</w:t>
      </w:r>
    </w:p>
    <w:p w14:paraId="0B4F6DDF">
      <w:pPr>
        <w:spacing w:before="156" w:beforeLines="50" w:after="156" w:afterLines="50" w:line="400" w:lineRule="exact"/>
        <w:jc w:val="center"/>
        <w:rPr>
          <w:rFonts w:ascii="宋体" w:hAnsi="宋体" w:cs="Times New Roman"/>
          <w:b/>
          <w:bCs/>
          <w:iCs/>
          <w:color w:val="000000"/>
          <w:sz w:val="32"/>
          <w:szCs w:val="32"/>
        </w:rPr>
      </w:pPr>
      <w:r>
        <w:rPr>
          <w:rFonts w:hint="eastAsia" w:ascii="宋体" w:hAnsi="宋体" w:cs="Times New Roman"/>
          <w:b/>
          <w:bCs/>
          <w:iCs/>
          <w:color w:val="000000"/>
          <w:sz w:val="32"/>
          <w:szCs w:val="32"/>
        </w:rPr>
        <w:t>中化装备科技(青岛)股份有限公司</w:t>
      </w:r>
    </w:p>
    <w:p w14:paraId="3B8C65F5">
      <w:pPr>
        <w:spacing w:before="156" w:beforeLines="50" w:after="156" w:afterLines="50" w:line="400" w:lineRule="exact"/>
        <w:jc w:val="center"/>
        <w:rPr>
          <w:b/>
          <w:bCs/>
          <w:sz w:val="28"/>
          <w:szCs w:val="28"/>
        </w:rPr>
      </w:pPr>
      <w:r>
        <w:rPr>
          <w:rFonts w:hint="eastAsia" w:ascii="宋体" w:hAnsi="宋体" w:cs="Times New Roman"/>
          <w:b/>
          <w:bCs/>
          <w:iCs/>
          <w:color w:val="000000"/>
          <w:sz w:val="32"/>
          <w:szCs w:val="32"/>
        </w:rPr>
        <w:t>投资者关系活动记录表</w:t>
      </w:r>
    </w:p>
    <w:p w14:paraId="2F069935">
      <w:pPr>
        <w:jc w:val="right"/>
        <w:rPr>
          <w:szCs w:val="24"/>
        </w:rPr>
      </w:pPr>
    </w:p>
    <w:tbl>
      <w:tblPr>
        <w:tblStyle w:val="8"/>
        <w:tblW w:w="8828"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1"/>
        <w:gridCol w:w="6517"/>
      </w:tblGrid>
      <w:tr w14:paraId="7709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1" w:type="dxa"/>
            <w:vAlign w:val="center"/>
          </w:tcPr>
          <w:p w14:paraId="4520026D">
            <w:pPr>
              <w:jc w:val="center"/>
              <w:rPr>
                <w:szCs w:val="24"/>
              </w:rPr>
            </w:pPr>
            <w:r>
              <w:rPr>
                <w:rFonts w:hint="eastAsia"/>
                <w:szCs w:val="24"/>
              </w:rPr>
              <w:t>投资者关系活动</w:t>
            </w:r>
          </w:p>
          <w:p w14:paraId="6B00D4E5">
            <w:pPr>
              <w:jc w:val="center"/>
              <w:rPr>
                <w:szCs w:val="24"/>
              </w:rPr>
            </w:pPr>
            <w:r>
              <w:rPr>
                <w:rFonts w:hint="eastAsia"/>
                <w:szCs w:val="24"/>
              </w:rPr>
              <w:t>类别</w:t>
            </w:r>
          </w:p>
        </w:tc>
        <w:tc>
          <w:tcPr>
            <w:tcW w:w="6517" w:type="dxa"/>
          </w:tcPr>
          <w:p w14:paraId="0D9BB086">
            <w:pPr>
              <w:spacing w:line="360" w:lineRule="auto"/>
              <w:rPr>
                <w:rFonts w:ascii="宋体" w:hAnsi="宋体"/>
                <w:szCs w:val="24"/>
              </w:rPr>
            </w:pPr>
            <w:r>
              <w:rPr>
                <w:rFonts w:hint="eastAsia" w:ascii="宋体" w:hAnsi="宋体"/>
                <w:szCs w:val="24"/>
              </w:rPr>
              <w:sym w:font="Wingdings 2" w:char="00A3"/>
            </w:r>
            <w:r>
              <w:rPr>
                <w:rFonts w:hint="eastAsia" w:ascii="宋体" w:hAnsi="宋体"/>
                <w:szCs w:val="24"/>
              </w:rPr>
              <w:t xml:space="preserve">特定对象调研 </w:t>
            </w:r>
            <w:r>
              <w:rPr>
                <w:rFonts w:ascii="宋体" w:hAnsi="宋体"/>
                <w:szCs w:val="24"/>
              </w:rPr>
              <w:t xml:space="preserve">   </w:t>
            </w:r>
            <w:r>
              <w:rPr>
                <w:rFonts w:hint="eastAsia" w:ascii="宋体" w:hAnsi="宋体"/>
                <w:szCs w:val="24"/>
              </w:rPr>
              <w:sym w:font="Wingdings 2" w:char="00A3"/>
            </w:r>
            <w:r>
              <w:rPr>
                <w:rFonts w:hint="eastAsia" w:ascii="宋体" w:hAnsi="宋体"/>
                <w:szCs w:val="24"/>
              </w:rPr>
              <w:t>分析师会议</w:t>
            </w:r>
          </w:p>
          <w:p w14:paraId="5461DF79">
            <w:pPr>
              <w:spacing w:line="360" w:lineRule="auto"/>
              <w:rPr>
                <w:rFonts w:ascii="宋体" w:hAnsi="宋体"/>
                <w:szCs w:val="24"/>
              </w:rPr>
            </w:pPr>
            <w:r>
              <w:rPr>
                <w:rFonts w:hint="eastAsia" w:ascii="宋体" w:hAnsi="宋体"/>
                <w:szCs w:val="24"/>
              </w:rPr>
              <w:sym w:font="Wingdings 2" w:char="00A3"/>
            </w:r>
            <w:r>
              <w:rPr>
                <w:rFonts w:hint="eastAsia" w:ascii="宋体" w:hAnsi="宋体"/>
                <w:szCs w:val="24"/>
              </w:rPr>
              <w:t xml:space="preserve">媒体采访 </w:t>
            </w:r>
            <w:r>
              <w:rPr>
                <w:rFonts w:ascii="宋体" w:hAnsi="宋体"/>
                <w:szCs w:val="24"/>
              </w:rPr>
              <w:t xml:space="preserve">       </w:t>
            </w:r>
            <w:r>
              <w:rPr>
                <w:rFonts w:hint="eastAsia" w:ascii="宋体" w:hAnsi="宋体"/>
                <w:szCs w:val="24"/>
              </w:rPr>
              <w:sym w:font="Wingdings 2" w:char="0052"/>
            </w:r>
            <w:r>
              <w:rPr>
                <w:rFonts w:hint="eastAsia" w:ascii="宋体" w:hAnsi="宋体"/>
                <w:szCs w:val="24"/>
              </w:rPr>
              <w:t>业绩说明会</w:t>
            </w:r>
          </w:p>
          <w:p w14:paraId="629084B9">
            <w:pPr>
              <w:spacing w:line="360" w:lineRule="auto"/>
              <w:rPr>
                <w:rFonts w:ascii="宋体" w:hAnsi="宋体"/>
                <w:szCs w:val="24"/>
              </w:rPr>
            </w:pPr>
            <w:r>
              <w:rPr>
                <w:rFonts w:hint="eastAsia" w:ascii="宋体" w:hAnsi="宋体"/>
                <w:szCs w:val="24"/>
              </w:rPr>
              <w:sym w:font="Wingdings 2" w:char="00A3"/>
            </w:r>
            <w:r>
              <w:rPr>
                <w:rFonts w:hint="eastAsia" w:ascii="宋体" w:hAnsi="宋体"/>
                <w:szCs w:val="24"/>
              </w:rPr>
              <w:t xml:space="preserve">新闻发布会 </w:t>
            </w:r>
            <w:r>
              <w:rPr>
                <w:rFonts w:ascii="宋体" w:hAnsi="宋体"/>
                <w:szCs w:val="24"/>
              </w:rPr>
              <w:t xml:space="preserve">     </w:t>
            </w:r>
            <w:r>
              <w:rPr>
                <w:rFonts w:hint="eastAsia" w:ascii="宋体" w:hAnsi="宋体"/>
                <w:szCs w:val="24"/>
              </w:rPr>
              <w:sym w:font="Wingdings 2" w:char="00A3"/>
            </w:r>
            <w:r>
              <w:rPr>
                <w:rFonts w:hint="eastAsia" w:ascii="宋体" w:hAnsi="宋体"/>
                <w:szCs w:val="24"/>
              </w:rPr>
              <w:t>路演活动</w:t>
            </w:r>
          </w:p>
          <w:p w14:paraId="62965D2B">
            <w:pPr>
              <w:spacing w:line="360" w:lineRule="auto"/>
              <w:rPr>
                <w:szCs w:val="24"/>
              </w:rPr>
            </w:pPr>
            <w:r>
              <w:rPr>
                <w:rFonts w:hint="eastAsia" w:ascii="宋体" w:hAnsi="宋体"/>
                <w:szCs w:val="24"/>
              </w:rPr>
              <w:sym w:font="Wingdings 2" w:char="00A3"/>
            </w:r>
            <w:r>
              <w:rPr>
                <w:rFonts w:hint="eastAsia" w:ascii="宋体" w:hAnsi="宋体"/>
                <w:szCs w:val="24"/>
              </w:rPr>
              <w:t xml:space="preserve">现场参观        </w:t>
            </w:r>
            <w:r>
              <w:rPr>
                <w:rFonts w:hint="eastAsia" w:ascii="宋体" w:hAnsi="宋体"/>
                <w:szCs w:val="24"/>
              </w:rPr>
              <w:sym w:font="Wingdings 2" w:char="00A3"/>
            </w:r>
            <w:r>
              <w:rPr>
                <w:rFonts w:hint="eastAsia" w:ascii="宋体" w:hAnsi="宋体"/>
                <w:szCs w:val="24"/>
              </w:rPr>
              <w:t>其他</w:t>
            </w:r>
          </w:p>
        </w:tc>
      </w:tr>
      <w:tr w14:paraId="6CF8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2311" w:type="dxa"/>
            <w:vAlign w:val="center"/>
          </w:tcPr>
          <w:p w14:paraId="14165910">
            <w:pPr>
              <w:jc w:val="center"/>
              <w:rPr>
                <w:szCs w:val="24"/>
              </w:rPr>
            </w:pPr>
            <w:r>
              <w:rPr>
                <w:rFonts w:hint="eastAsia"/>
                <w:szCs w:val="24"/>
              </w:rPr>
              <w:t>参与单位名称</w:t>
            </w:r>
          </w:p>
          <w:p w14:paraId="35008683">
            <w:pPr>
              <w:jc w:val="center"/>
              <w:rPr>
                <w:szCs w:val="24"/>
              </w:rPr>
            </w:pPr>
            <w:r>
              <w:rPr>
                <w:rFonts w:hint="eastAsia"/>
                <w:szCs w:val="24"/>
              </w:rPr>
              <w:t>及人员姓名</w:t>
            </w:r>
          </w:p>
        </w:tc>
        <w:tc>
          <w:tcPr>
            <w:tcW w:w="6517" w:type="dxa"/>
            <w:vAlign w:val="center"/>
          </w:tcPr>
          <w:p w14:paraId="44C30641">
            <w:pPr>
              <w:rPr>
                <w:rFonts w:asciiTheme="minorEastAsia" w:hAnsiTheme="minorEastAsia" w:eastAsiaTheme="minorEastAsia"/>
                <w:b/>
                <w:bCs/>
                <w:szCs w:val="24"/>
              </w:rPr>
            </w:pPr>
            <w:r>
              <w:rPr>
                <w:rFonts w:hint="eastAsia" w:asciiTheme="minorEastAsia" w:hAnsiTheme="minorEastAsia" w:eastAsiaTheme="minorEastAsia"/>
              </w:rPr>
              <w:t>线上参与公司2026年第三季度业绩说明</w:t>
            </w:r>
            <w:bookmarkStart w:id="0" w:name="_GoBack"/>
            <w:bookmarkEnd w:id="0"/>
            <w:r>
              <w:rPr>
                <w:rFonts w:hint="eastAsia" w:asciiTheme="minorEastAsia" w:hAnsiTheme="minorEastAsia" w:eastAsiaTheme="minorEastAsia"/>
              </w:rPr>
              <w:t>会的全体投资者</w:t>
            </w:r>
          </w:p>
        </w:tc>
      </w:tr>
      <w:tr w14:paraId="4B4E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311" w:type="dxa"/>
            <w:vAlign w:val="center"/>
          </w:tcPr>
          <w:p w14:paraId="69492067">
            <w:pPr>
              <w:jc w:val="center"/>
              <w:rPr>
                <w:szCs w:val="24"/>
              </w:rPr>
            </w:pPr>
            <w:r>
              <w:rPr>
                <w:rFonts w:hint="eastAsia"/>
                <w:szCs w:val="24"/>
              </w:rPr>
              <w:t>时间</w:t>
            </w:r>
          </w:p>
        </w:tc>
        <w:tc>
          <w:tcPr>
            <w:tcW w:w="6517" w:type="dxa"/>
            <w:vAlign w:val="center"/>
          </w:tcPr>
          <w:p w14:paraId="017C6D88">
            <w:pPr>
              <w:spacing w:line="360" w:lineRule="auto"/>
              <w:rPr>
                <w:rFonts w:asciiTheme="minorEastAsia" w:hAnsiTheme="minorEastAsia" w:eastAsiaTheme="minorEastAsia"/>
                <w:szCs w:val="24"/>
              </w:rPr>
            </w:pPr>
            <w:r>
              <w:rPr>
                <w:rFonts w:cs="Times New Roman" w:asciiTheme="minorEastAsia" w:hAnsiTheme="minorEastAsia" w:eastAsiaTheme="minorEastAsia"/>
                <w:bCs/>
                <w:iCs/>
              </w:rPr>
              <w:t>2026年11月6日 14:00-15:00</w:t>
            </w:r>
          </w:p>
        </w:tc>
      </w:tr>
      <w:tr w14:paraId="0F60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311" w:type="dxa"/>
            <w:vAlign w:val="center"/>
          </w:tcPr>
          <w:p w14:paraId="67BD93EC">
            <w:pPr>
              <w:jc w:val="center"/>
              <w:rPr>
                <w:szCs w:val="24"/>
              </w:rPr>
            </w:pPr>
            <w:r>
              <w:rPr>
                <w:rFonts w:hint="eastAsia"/>
                <w:szCs w:val="24"/>
              </w:rPr>
              <w:t>地点</w:t>
            </w:r>
          </w:p>
        </w:tc>
        <w:tc>
          <w:tcPr>
            <w:tcW w:w="6517" w:type="dxa"/>
          </w:tcPr>
          <w:p w14:paraId="1AB422B5">
            <w:pPr>
              <w:wordWrap w:val="0"/>
              <w:spacing w:line="360" w:lineRule="auto"/>
              <w:jc w:val="left"/>
              <w:rPr>
                <w:rFonts w:asciiTheme="minorEastAsia" w:hAnsiTheme="minorEastAsia" w:eastAsiaTheme="minorEastAsia"/>
                <w:szCs w:val="24"/>
              </w:rPr>
            </w:pPr>
            <w:r>
              <w:rPr>
                <w:rFonts w:hint="eastAsia" w:asciiTheme="minorEastAsia" w:hAnsiTheme="minorEastAsia" w:eastAsiaTheme="minorEastAsia"/>
                <w:szCs w:val="24"/>
              </w:rPr>
              <w:t>东方财富路演平台</w:t>
            </w:r>
            <w:r>
              <w:rPr>
                <w:rFonts w:asciiTheme="minorEastAsia" w:hAnsiTheme="minorEastAsia" w:eastAsiaTheme="minorEastAsia"/>
                <w:szCs w:val="24"/>
              </w:rPr>
              <w:t xml:space="preserve"> </w:t>
            </w:r>
            <w:r>
              <w:rPr>
                <w:rFonts w:hint="eastAsia" w:ascii="宋体" w:hAnsi="宋体" w:cs="宋体"/>
                <w:szCs w:val="24"/>
              </w:rPr>
              <w:t>（网址：</w:t>
            </w:r>
            <w:r>
              <w:fldChar w:fldCharType="begin"/>
            </w:r>
            <w:r>
              <w:instrText xml:space="preserve"> HYPERLINK "https://roadshow.lvb.eastmoney.com/LVB/Nav/Room/em/5583660" \h </w:instrText>
            </w:r>
            <w:r>
              <w:fldChar w:fldCharType="separate"/>
            </w:r>
            <w:r>
              <w:rPr>
                <w:rFonts w:ascii="宋体" w:hAnsi="宋体" w:cs="宋体"/>
                <w:color w:val="0000FF"/>
                <w:u w:val="single" w:color="auto"/>
              </w:rPr>
              <w:t>https://roadshow.lvb.eastmoney.com/LVB/Nav/Room/em/5583660</w:t>
            </w:r>
            <w:r>
              <w:rPr>
                <w:rFonts w:ascii="宋体" w:hAnsi="宋体" w:cs="宋体"/>
                <w:color w:val="0000FF"/>
                <w:u w:val="single" w:color="auto"/>
              </w:rPr>
              <w:fldChar w:fldCharType="end"/>
            </w:r>
            <w:r>
              <w:rPr>
                <w:rFonts w:ascii="宋体" w:hAnsi="宋体" w:cs="宋体"/>
                <w:szCs w:val="24"/>
              </w:rPr>
              <w:t xml:space="preserve"> </w:t>
            </w:r>
            <w:r>
              <w:rPr>
                <w:rFonts w:hint="eastAsia" w:ascii="宋体" w:hAnsi="宋体" w:cs="宋体"/>
                <w:szCs w:val="24"/>
              </w:rPr>
              <w:t>）</w:t>
            </w:r>
          </w:p>
        </w:tc>
      </w:tr>
      <w:tr w14:paraId="7AB9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311" w:type="dxa"/>
            <w:vAlign w:val="center"/>
          </w:tcPr>
          <w:p w14:paraId="02C6C087">
            <w:pPr>
              <w:jc w:val="center"/>
              <w:rPr>
                <w:szCs w:val="24"/>
              </w:rPr>
            </w:pPr>
            <w:r>
              <w:rPr>
                <w:rFonts w:hint="eastAsia"/>
                <w:szCs w:val="24"/>
              </w:rPr>
              <w:t>上市公司接待人员</w:t>
            </w:r>
          </w:p>
          <w:p w14:paraId="4C9905DE">
            <w:pPr>
              <w:jc w:val="center"/>
              <w:rPr>
                <w:szCs w:val="24"/>
              </w:rPr>
            </w:pPr>
            <w:r>
              <w:rPr>
                <w:rFonts w:hint="eastAsia"/>
                <w:szCs w:val="24"/>
              </w:rPr>
              <w:t>姓名</w:t>
            </w:r>
          </w:p>
        </w:tc>
        <w:tc>
          <w:tcPr>
            <w:tcW w:w="6517" w:type="dxa"/>
            <w:vAlign w:val="center"/>
          </w:tcPr>
          <w:p w14:paraId="14BE23AC">
            <w:pPr>
              <w:spacing w:line="360" w:lineRule="auto"/>
              <w:rPr>
                <w:rFonts w:asciiTheme="minorEastAsia" w:hAnsiTheme="minorEastAsia" w:eastAsiaTheme="minorEastAsia"/>
                <w:szCs w:val="24"/>
              </w:rPr>
            </w:pPr>
            <w:r>
              <w:rPr>
                <w:rFonts w:hint="eastAsia" w:asciiTheme="minorEastAsia" w:hAnsiTheme="minorEastAsia" w:eastAsiaTheme="minorEastAsia"/>
                <w:szCs w:val="24"/>
              </w:rPr>
              <w:t>董事长、总经理  张驰</w:t>
            </w:r>
            <w:r>
              <w:rPr>
                <w:rFonts w:hint="eastAsia" w:asciiTheme="minorEastAsia" w:hAnsiTheme="minorEastAsia" w:eastAsiaTheme="minorEastAsia"/>
                <w:szCs w:val="24"/>
              </w:rPr>
              <w:br w:type="textWrapping"/>
            </w:r>
            <w:r>
              <w:rPr>
                <w:rFonts w:hint="eastAsia" w:asciiTheme="minorEastAsia" w:hAnsiTheme="minorEastAsia" w:eastAsiaTheme="minorEastAsia"/>
                <w:szCs w:val="24"/>
              </w:rPr>
              <w:t>独立董事  马战坤</w:t>
            </w:r>
            <w:r>
              <w:rPr>
                <w:rFonts w:hint="eastAsia" w:asciiTheme="minorEastAsia" w:hAnsiTheme="minorEastAsia" w:eastAsiaTheme="minorEastAsia"/>
                <w:szCs w:val="24"/>
              </w:rPr>
              <w:br w:type="textWrapping"/>
            </w:r>
            <w:r>
              <w:rPr>
                <w:rFonts w:hint="eastAsia" w:asciiTheme="minorEastAsia" w:hAnsiTheme="minorEastAsia" w:eastAsiaTheme="minorEastAsia"/>
                <w:szCs w:val="24"/>
              </w:rPr>
              <w:t>董事、财务负责人  乐华</w:t>
            </w:r>
            <w:r>
              <w:rPr>
                <w:rFonts w:hint="eastAsia" w:asciiTheme="minorEastAsia" w:hAnsiTheme="minorEastAsia" w:eastAsiaTheme="minorEastAsia"/>
                <w:szCs w:val="24"/>
              </w:rPr>
              <w:br w:type="textWrapping"/>
            </w:r>
            <w:r>
              <w:rPr>
                <w:rFonts w:hint="eastAsia" w:asciiTheme="minorEastAsia" w:hAnsiTheme="minorEastAsia" w:eastAsiaTheme="minorEastAsia"/>
                <w:szCs w:val="24"/>
              </w:rPr>
              <w:t>副总经理、董事会秘书  张晓峰</w:t>
            </w:r>
          </w:p>
        </w:tc>
      </w:tr>
      <w:tr w14:paraId="34F9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2311" w:type="dxa"/>
            <w:vAlign w:val="center"/>
          </w:tcPr>
          <w:p w14:paraId="4E2D31AE">
            <w:pPr>
              <w:jc w:val="center"/>
              <w:rPr>
                <w:szCs w:val="24"/>
              </w:rPr>
            </w:pPr>
            <w:r>
              <w:rPr>
                <w:rFonts w:hint="eastAsia"/>
                <w:szCs w:val="24"/>
              </w:rPr>
              <w:t>投资者关系活动主要内容介绍</w:t>
            </w:r>
          </w:p>
        </w:tc>
        <w:tc>
          <w:tcPr>
            <w:tcW w:w="6517" w:type="dxa"/>
          </w:tcPr>
          <w:p w14:paraId="224214D5">
            <w:pPr>
              <w:pStyle w:val="15"/>
            </w:pPr>
            <w:r>
              <w:rPr>
                <w:b/>
                <w:sz w:val="24"/>
              </w:rPr>
              <w:t>问题1: 三季报中，益阳橡机、北化机的业绩是否并表？如果并表是包含了多少？年报是否有可能扭亏为盈？</w:t>
            </w:r>
          </w:p>
          <w:p w14:paraId="607CC756">
            <w:pPr>
              <w:pStyle w:val="15"/>
            </w:pPr>
            <w:r>
              <w:rPr>
                <w:sz w:val="24"/>
              </w:rPr>
              <w:t>答：尊敬的投资者您好，2026年9月，益阳橡机与北化机完成资产交割，已纳入三季报合并报表范围。益阳橡机和北化机在合并前实现的净利润为8,182.66万元，已计入当期非经常性损益。2026年经营情况，敬请关注公司后续披露的2026年度业绩预告，感谢关注！</w:t>
            </w:r>
          </w:p>
          <w:p w14:paraId="5434225B">
            <w:pPr>
              <w:pStyle w:val="15"/>
            </w:pPr>
            <w:r>
              <w:rPr>
                <w:sz w:val="24"/>
              </w:rPr>
              <w:t xml:space="preserve"> </w:t>
            </w:r>
          </w:p>
          <w:p w14:paraId="0BD1A626">
            <w:pPr>
              <w:pStyle w:val="15"/>
            </w:pPr>
            <w:r>
              <w:rPr>
                <w:b/>
                <w:sz w:val="24"/>
              </w:rPr>
              <w:t>问题2: 您好，我想问下三季度北化机、益阳橡机都合并报表了，三季度报表还是亏损，按往年业绩看，天华院每年盈利都的1亿左右，能解释下截止三季度每个公司单独的盈利金额和亏损金额吗？是不是天华院四季度会迎来回款高峰期？</w:t>
            </w:r>
          </w:p>
          <w:p w14:paraId="5ADF50DD">
            <w:pPr>
              <w:pStyle w:val="15"/>
            </w:pPr>
            <w:r>
              <w:rPr>
                <w:sz w:val="24"/>
              </w:rPr>
              <w:t>答：尊敬的投资者，您好！ 三季度利润承压主要源于三方面因素：一是收入端同比有所下滑；二是参股企业 KM 集团受欧洲投资偏弱、下游资本开支收缩及外部竞争加剧影响，经营亏损扩大，公司按权益法核算确认相应投资损失；三是公司推进中化橡机吸收合并工作，三季度集中发生较大金额人员协解支出。另外，2026 年 9 月益阳橡机、北化机完成资产交割并纳入三季报合并范围。两家标的合并前实现净利润 8,182.66 万元，已计入当期非经常性损益。成套装备行业验收交付多集中于下半年，回款节奏呈现前低后高的特征但也受合同约定及其他内外部多重因素影响。截至报告期末，天华院在手订单 17.06 亿元，同比增长 32.66%，为后续经营奠定基础；公司同时多措并举推进应收款项清收工作。感谢您的关注！</w:t>
            </w:r>
          </w:p>
          <w:p w14:paraId="32E29ACB">
            <w:pPr>
              <w:pStyle w:val="15"/>
            </w:pPr>
            <w:r>
              <w:rPr>
                <w:sz w:val="24"/>
              </w:rPr>
              <w:t xml:space="preserve"> </w:t>
            </w:r>
          </w:p>
          <w:p w14:paraId="76E6A6F2">
            <w:pPr>
              <w:pStyle w:val="15"/>
            </w:pPr>
            <w:r>
              <w:rPr>
                <w:b/>
                <w:sz w:val="24"/>
              </w:rPr>
              <w:t>问题3:</w:t>
            </w:r>
            <w:r>
              <w:rPr>
                <w:rFonts w:hint="eastAsia"/>
                <w:b/>
                <w:sz w:val="24"/>
                <w:lang w:val="en-US" w:eastAsia="zh-CN"/>
              </w:rPr>
              <w:t xml:space="preserve"> </w:t>
            </w:r>
            <w:r>
              <w:rPr>
                <w:b/>
                <w:sz w:val="24"/>
              </w:rPr>
              <w:t>贵公司三季报为啥这么差，后续年报会有业绩大幅增长预期么？感谢回答</w:t>
            </w:r>
          </w:p>
          <w:p w14:paraId="1BC074ED">
            <w:pPr>
              <w:pStyle w:val="15"/>
            </w:pPr>
            <w:r>
              <w:rPr>
                <w:sz w:val="24"/>
              </w:rPr>
              <w:t>答：尊敬的投资者，您好！三季度利润承压主要源于三方面因素：一是收入端同比有所下滑；二是参股企业 KM 集团受欧洲投资偏弱、下游资本开支收缩及外部竞争加剧影响，经营亏损扩大，公司按权益法核算确认相应投资损失；三是公司推进中化橡机吸收合并工作，三季度集中发生较大金额人员协解支出。公司2026年经营情况，敬请关注公司后续披露的2026年度业绩预告，感谢关注！</w:t>
            </w:r>
          </w:p>
          <w:p w14:paraId="237DDA6C">
            <w:pPr>
              <w:pStyle w:val="15"/>
            </w:pPr>
            <w:r>
              <w:rPr>
                <w:sz w:val="24"/>
              </w:rPr>
              <w:t xml:space="preserve"> </w:t>
            </w:r>
          </w:p>
          <w:p w14:paraId="2BB4DF54">
            <w:pPr>
              <w:pStyle w:val="15"/>
            </w:pPr>
            <w:r>
              <w:rPr>
                <w:b/>
                <w:sz w:val="24"/>
              </w:rPr>
              <w:t>问题4: 你好</w:t>
            </w:r>
            <w:r>
              <w:rPr>
                <w:rFonts w:hint="eastAsia"/>
                <w:b/>
                <w:sz w:val="24"/>
                <w:lang w:val="en-US" w:eastAsia="zh-CN"/>
              </w:rPr>
              <w:t>,</w:t>
            </w:r>
            <w:r>
              <w:rPr>
                <w:b/>
                <w:sz w:val="24"/>
              </w:rPr>
              <w:t>公司重组合并4季度回合并财务报表么？</w:t>
            </w:r>
          </w:p>
          <w:p w14:paraId="1667857F">
            <w:pPr>
              <w:pStyle w:val="15"/>
            </w:pPr>
            <w:r>
              <w:rPr>
                <w:sz w:val="24"/>
              </w:rPr>
              <w:t>答：尊敬的投资者您好，2026年9月，益阳橡机与北化机完成资产交割，已纳入三季报合并报表范围，感谢关注！</w:t>
            </w:r>
          </w:p>
          <w:p w14:paraId="1E5F2AD7">
            <w:pPr>
              <w:pStyle w:val="15"/>
            </w:pPr>
            <w:r>
              <w:rPr>
                <w:sz w:val="24"/>
              </w:rPr>
              <w:t xml:space="preserve"> </w:t>
            </w:r>
          </w:p>
          <w:p w14:paraId="6B79CB33">
            <w:pPr>
              <w:pStyle w:val="15"/>
            </w:pPr>
            <w:r>
              <w:rPr>
                <w:b/>
                <w:sz w:val="24"/>
              </w:rPr>
              <w:t>问题5: 前三季度经营现金流为负，请问公司回款管控措施，预计何时经营现金流能够转正？</w:t>
            </w:r>
          </w:p>
          <w:p w14:paraId="54C67C83">
            <w:pPr>
              <w:pStyle w:val="15"/>
            </w:pPr>
            <w:r>
              <w:rPr>
                <w:sz w:val="24"/>
              </w:rPr>
              <w:t>答：尊敬的投资者，您好！公司前三季度经营活动现金流净额为负，主要系在手订单规模增长，项目备货采购支出增加，叠加中化橡机吸收合并发生人员协解相关现金支出；同时受下游石化行业资本开支放缓影响，部分项目交付、验收、回款节奏有所延后，共同导致经营现金流阶段性承压。针对回款管控，公司已建立多维度管控举措：一是强化项目全周期现金流管理，坚持事前评估客户信用、事中紧盯节点验收、事后加大逾期账款催收力度；二是依托CRM等信息系统，对合同收款节点、应收账款账龄进行动态跟踪预警，重点加大逾期应收款项清收；三是优化接单评审机制，在新项目投标及合同签订阶段强化付款条款评审，合理设置预付款、进度款比例，从源头改善回款质量；四是统筹推进在手订单交付，积极对接下游客户，推动项目按期完成调试验收，加快收入确认与资金回笼。公司将把改善经营性现金流作为重点经营工作，在做大订单规模的同时更加重视现金流质量，持续压降应收、优化合同条款、加快项目验收回款，努力改善经营性现金流状况。相关财务数据请以公司定期报告披露为准，感谢您对公司的关注。</w:t>
            </w:r>
          </w:p>
          <w:p w14:paraId="11D4AF1C">
            <w:pPr>
              <w:pStyle w:val="15"/>
            </w:pPr>
            <w:r>
              <w:rPr>
                <w:sz w:val="24"/>
              </w:rPr>
              <w:t xml:space="preserve"> </w:t>
            </w:r>
          </w:p>
          <w:p w14:paraId="355AE1E5">
            <w:pPr>
              <w:pStyle w:val="15"/>
            </w:pPr>
            <w:r>
              <w:rPr>
                <w:b/>
                <w:sz w:val="24"/>
              </w:rPr>
              <w:t>问题6: 预计2026年经营利润会转正吗?</w:t>
            </w:r>
          </w:p>
          <w:p w14:paraId="65ADD9FB">
            <w:pPr>
              <w:pStyle w:val="15"/>
            </w:pPr>
            <w:r>
              <w:rPr>
                <w:sz w:val="24"/>
              </w:rPr>
              <w:t>答：尊敬的投资者您好，益阳橡机和北化机在合并前实现的净利润为8,182.66万元，已计入当期非经常性损益。公司2026年经营情况，敬请关注公司后续披露的2026年度业绩预告，感谢关注！</w:t>
            </w:r>
          </w:p>
          <w:p w14:paraId="1CB3E2A9">
            <w:pPr>
              <w:pStyle w:val="15"/>
            </w:pPr>
            <w:r>
              <w:rPr>
                <w:sz w:val="24"/>
              </w:rPr>
              <w:t xml:space="preserve"> </w:t>
            </w:r>
          </w:p>
          <w:p w14:paraId="6D244924">
            <w:pPr>
              <w:pStyle w:val="15"/>
            </w:pPr>
            <w:r>
              <w:rPr>
                <w:b/>
                <w:sz w:val="24"/>
              </w:rPr>
              <w:t>问题7: 董事长您好，我们中化，最后一个步骤，定增三亿几时落地？我们三季报已经并表减亏，年报可以扭亏吗？</w:t>
            </w:r>
          </w:p>
          <w:p w14:paraId="38A63FE1">
            <w:pPr>
              <w:pStyle w:val="15"/>
            </w:pPr>
            <w:r>
              <w:rPr>
                <w:sz w:val="24"/>
              </w:rPr>
              <w:t>答：尊敬的投资者您好，公司本次重组配套融资工作目前正在积极推进，相关路演工作正在开展，具体发行日期及成功与否还存在不确定性。关于公司2026年经营情况，敬请关注后续披露的2026年度业绩预告，感谢关注！</w:t>
            </w:r>
          </w:p>
          <w:p w14:paraId="56EF44B3">
            <w:pPr>
              <w:pStyle w:val="15"/>
            </w:pPr>
            <w:r>
              <w:rPr>
                <w:sz w:val="24"/>
              </w:rPr>
              <w:t xml:space="preserve"> </w:t>
            </w:r>
          </w:p>
          <w:p w14:paraId="5C1824C1">
            <w:pPr>
              <w:pStyle w:val="15"/>
            </w:pPr>
            <w:r>
              <w:rPr>
                <w:b/>
                <w:sz w:val="24"/>
              </w:rPr>
              <w:t>问题8: 你好，请问目前有没有吸收福建橡机、彻底剥离克劳斯玛菲的计划</w:t>
            </w:r>
          </w:p>
          <w:p w14:paraId="235C0703">
            <w:pPr>
              <w:pStyle w:val="15"/>
            </w:pPr>
            <w:r>
              <w:rPr>
                <w:sz w:val="24"/>
              </w:rPr>
              <w:t>答：尊敬的投资者您好！根据公司战略发展需要，为整合内部资源、优化组织架构、压降管理成本，公司持续推进对中化橡机的吸收合并相关工作。目前已平稳完成人员安置及协商解除劳动关系工作，存量业务已妥善处置；后续将有序推进生产基地关停及资产处置等工作。针对彻底剥离KM股权事宜，现阶段暂无相关计划。如有相关重大事项，公司会根据规则要求披露，感谢您的关注！</w:t>
            </w:r>
          </w:p>
          <w:p w14:paraId="0FE5458A">
            <w:pPr>
              <w:pStyle w:val="15"/>
            </w:pPr>
            <w:r>
              <w:rPr>
                <w:sz w:val="24"/>
              </w:rPr>
              <w:t xml:space="preserve"> </w:t>
            </w:r>
          </w:p>
          <w:p w14:paraId="29C7B0EE">
            <w:pPr>
              <w:pStyle w:val="15"/>
            </w:pPr>
            <w:r>
              <w:rPr>
                <w:b/>
                <w:sz w:val="24"/>
              </w:rPr>
              <w:t>问题9: 尊敬的各位领导下午好，中化并购重组值得庆祝，但是三季报并没有扭亏，公司连续2年跌幅近50%，我们股东损失惨重，公司能否有新的举措回馈股东</w:t>
            </w:r>
          </w:p>
          <w:p w14:paraId="56F9868F">
            <w:pPr>
              <w:pStyle w:val="15"/>
            </w:pPr>
            <w:r>
              <w:rPr>
                <w:sz w:val="24"/>
              </w:rPr>
              <w:t>答：尊敬的投资者您好，三季度利润承压主要源于三方面因素：一是收入端同比有所下滑；二是参股企业 KM 集团受欧洲投资偏弱、下游资本开支收缩及外部竞争加剧影响，经营亏损扩大，公司按权益法核算确认相应投资损失；三是公司推进中化橡机吸收合并工作，三季度集中发生较大金额人员协解支出。但公司订单大幅增长为后续发展奠定基础。截至三季度末，公司在手订单约43.15亿元，较2025年期末显著增长。未来公司将持续强化在手订单全流程闭环管理，加强与客户对接沟通，保障生产交付，提升经营质量，持续推进中化橡机吸收合并，有序完成生产基地关停及资产处置工作；坚持创新驱动，聚焦锂电池正极材料焙烧炉和熔盐储能业务等优势新兴领域，不断提升核心竞争力，放大业绩贡献；积极把握下游行业技改、设备更新政策机遇，拓展海内外市场，为后续高质量发展夯实基础。感谢关注！</w:t>
            </w:r>
          </w:p>
          <w:p w14:paraId="06803FE1">
            <w:pPr>
              <w:pStyle w:val="15"/>
            </w:pPr>
          </w:p>
          <w:p w14:paraId="3387D407">
            <w:pPr>
              <w:pStyle w:val="15"/>
            </w:pPr>
            <w:r>
              <w:rPr>
                <w:b/>
                <w:sz w:val="24"/>
              </w:rPr>
              <w:t>问题10: 你好领导，公司业绩亏损后续经营堪忧，有无具体解决方法</w:t>
            </w:r>
          </w:p>
          <w:p w14:paraId="1B26CB68">
            <w:pPr>
              <w:pStyle w:val="15"/>
            </w:pPr>
            <w:r>
              <w:rPr>
                <w:sz w:val="24"/>
              </w:rPr>
              <w:t>答：尊敬的投资者您好，公司将重点推进以下工作：持续强化在手订单全流程闭环管理，加强与客户对接沟通，保障生产交付，提升经营质量，持续推进中化橡机吸收合并，有序完成生产基地关停及资产处置工作；坚持创新驱动，聚焦锂电池正极材料焙烧炉和熔盐储能业务等优势新兴领域，不断提升核心竞争力，放大业绩贡献；积极把握下游行业技改、设备更新政策机遇，拓展海内外市场，为后续高质量发展夯实基础。感谢关注！</w:t>
            </w:r>
          </w:p>
          <w:p w14:paraId="6A1B69A5">
            <w:pPr>
              <w:pStyle w:val="15"/>
            </w:pPr>
            <w:r>
              <w:rPr>
                <w:sz w:val="24"/>
              </w:rPr>
              <w:t xml:space="preserve"> </w:t>
            </w:r>
          </w:p>
          <w:p w14:paraId="269B51D8">
            <w:pPr>
              <w:pStyle w:val="15"/>
            </w:pPr>
            <w:r>
              <w:rPr>
                <w:b/>
                <w:sz w:val="24"/>
              </w:rPr>
              <w:t>问题11: 你好董事长</w:t>
            </w:r>
            <w:r>
              <w:rPr>
                <w:rFonts w:hint="eastAsia"/>
                <w:b/>
                <w:sz w:val="24"/>
                <w:lang w:val="en-US" w:eastAsia="zh-CN"/>
              </w:rPr>
              <w:t>,</w:t>
            </w:r>
            <w:r>
              <w:rPr>
                <w:b/>
                <w:sz w:val="24"/>
              </w:rPr>
              <w:t>公司本年度有回购注销公司股份来回馈贵公司股民，本年27年，有没有大股东增持计划跟回购股份计划，感谢回答，</w:t>
            </w:r>
          </w:p>
          <w:p w14:paraId="0A02C6BB">
            <w:pPr>
              <w:pStyle w:val="15"/>
            </w:pPr>
            <w:r>
              <w:rPr>
                <w:sz w:val="24"/>
              </w:rPr>
              <w:t>答：尊敬的投资者您好！公司于2026年7月30日披露了《关于以集中竞价方式回购股份的回购报告书》，本次回购股份全部用于注销并减少注册资本。截至该公告披露日，公司董事、高级管理人员、控股股东、实际控制人及其一致行动人、持股5%以上股东未来3个月、未来6个月无减持计划。关于大股东增持计划，公司目前未收到相关通知，如有相关安排将按规定及时履行信息披露义务。2026年10月20日，公司完成股份回购，已实际回购公司股份累计1,423,100股，占公司总股本的比例为0.2063%，使用资金总额10,089,072元（不含交易费用）。感谢您对公司的关注！</w:t>
            </w:r>
          </w:p>
          <w:p w14:paraId="546FC96A">
            <w:pPr>
              <w:pStyle w:val="15"/>
            </w:pPr>
            <w:r>
              <w:rPr>
                <w:sz w:val="24"/>
              </w:rPr>
              <w:t xml:space="preserve"> </w:t>
            </w:r>
          </w:p>
          <w:p w14:paraId="3F1FFCEE">
            <w:pPr>
              <w:pStyle w:val="15"/>
            </w:pPr>
            <w:r>
              <w:rPr>
                <w:b/>
                <w:sz w:val="24"/>
              </w:rPr>
              <w:t>问题12: 贵公司股份越发越大，公司利润越来越小，贵公司有什么方法可以挽救一下</w:t>
            </w:r>
          </w:p>
          <w:p w14:paraId="350739CA">
            <w:pPr>
              <w:pStyle w:val="15"/>
            </w:pPr>
            <w:r>
              <w:rPr>
                <w:sz w:val="24"/>
              </w:rPr>
              <w:t>答：尊敬的投资者您好，三季度利润承压主要源于三方面因素：一是收入端同比有所下滑；二是参股企业 KM 集团受欧洲投资偏弱、下游资本开支收缩及外部竞争加剧影响，经营亏损扩大，公司按权益法核算确认相应投资损失；三是公司推进中化橡机吸收合并工作，三季度集中发生较大金额人员协解支出。但公司订单大幅增长为后续发展奠定基础。截至三季度末，公司在手订单约43.15亿元，较2025年期末显著增长。未来公司将持续强化在手订单全流程闭环管理，加强与客户对接沟通，保障生产交付，提升经营质量，持续推进中化橡机吸收合并，有序完成生产基地关停及资产处置工作；坚持创新驱动，聚焦锂电池正极材料焙烧炉和熔盐储能业务等优势新兴领域，不断提升核心竞争力，放大业绩贡献；积极把握下游行业技改、设备更新政策机遇，拓展海内外市场，为后续高质量发展夯实基础。感谢关注！</w:t>
            </w:r>
          </w:p>
          <w:p w14:paraId="33A3457A">
            <w:pPr>
              <w:pStyle w:val="15"/>
            </w:pPr>
            <w:r>
              <w:rPr>
                <w:sz w:val="24"/>
              </w:rPr>
              <w:t xml:space="preserve"> </w:t>
            </w:r>
          </w:p>
          <w:p w14:paraId="1EDEA8A6">
            <w:pPr>
              <w:pStyle w:val="15"/>
            </w:pPr>
            <w:r>
              <w:rPr>
                <w:b/>
                <w:sz w:val="24"/>
              </w:rPr>
              <w:t>问题13: 董事长你好，贵公司股价重组后不增反降，股票越来越多，业绩却越来越低，贵公司如何看待？</w:t>
            </w:r>
          </w:p>
          <w:p w14:paraId="47202001">
            <w:pPr>
              <w:pStyle w:val="15"/>
            </w:pPr>
            <w:r>
              <w:rPr>
                <w:sz w:val="24"/>
              </w:rPr>
              <w:t>答：尊敬的投资者您好！二级市场股价受宏观环境、行业周期、市场情绪等多种因素影响，敬请广大投资者理性决策，注意投资风险。公司已制定了市值管理制度，发布了《2026年度“提质增效重回报”行动方案》，后续公司将聚焦提质增效，不断提升资产运营效率，坚持创新驱动与高质量发展，努力提升经营效率与市场竞争力，具体参见相关问题答复。同时，公司高度重视投资者回报，积极提升投资者回报能力和水平。2026年10月20日，公司完成股份回购，已实际回购公司股份累计1,423,100股，占公司总股本的比例为0.2063%，使用资金总额10,089,072元（不含交易费用）。感谢关注！</w:t>
            </w:r>
          </w:p>
          <w:p w14:paraId="2B2625B6">
            <w:pPr>
              <w:pStyle w:val="15"/>
            </w:pPr>
            <w:r>
              <w:rPr>
                <w:sz w:val="24"/>
              </w:rPr>
              <w:t xml:space="preserve"> </w:t>
            </w:r>
          </w:p>
          <w:p w14:paraId="2E2E4180">
            <w:pPr>
              <w:pStyle w:val="15"/>
            </w:pPr>
            <w:r>
              <w:rPr>
                <w:b/>
                <w:sz w:val="24"/>
              </w:rPr>
              <w:t>问题14: 董事长你好，贵公司股票越来越多，长期持有贵公司的股民损失惨重。贵公司如何看待？</w:t>
            </w:r>
          </w:p>
          <w:p w14:paraId="2F01E68C">
            <w:pPr>
              <w:pStyle w:val="15"/>
            </w:pPr>
            <w:r>
              <w:rPr>
                <w:sz w:val="24"/>
              </w:rPr>
              <w:t>答：尊敬的投资者您好！二级市场股价受宏观环境、行业周期、市场情绪等多种因素影响，敬请广大投资者理性决策，注意投资风险。公司已制定了市值管理制度，发布了《2026年度“提质增效重回报”行动方案》，后续公司将聚焦提质增效，不断提升资产运营效率，坚持创新驱动与高质量发展，努力提升经营效率与市场竞争力，具体参见相关问题答复。同时，公司高度重视投资者回报，积极提升投资者回报能力和水平。2026年10月20日，公司完成股份回购，已实际回购公司股份累计1,423,100股，占公司总股本的比例为0.2063%，使用资金总额10,089,072元（不含交易费用）。感谢关注！</w:t>
            </w:r>
          </w:p>
          <w:p w14:paraId="0CB347D1">
            <w:pPr>
              <w:pStyle w:val="15"/>
            </w:pPr>
            <w:r>
              <w:rPr>
                <w:sz w:val="24"/>
              </w:rPr>
              <w:t xml:space="preserve"> </w:t>
            </w:r>
          </w:p>
        </w:tc>
      </w:tr>
      <w:tr w14:paraId="266E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311" w:type="dxa"/>
            <w:vAlign w:val="center"/>
          </w:tcPr>
          <w:p w14:paraId="6479F736">
            <w:pPr>
              <w:jc w:val="center"/>
              <w:rPr>
                <w:szCs w:val="24"/>
              </w:rPr>
            </w:pPr>
            <w:r>
              <w:rPr>
                <w:rFonts w:hint="eastAsia"/>
                <w:szCs w:val="24"/>
              </w:rPr>
              <w:t>是否涉及应当披露的重大信息</w:t>
            </w:r>
          </w:p>
        </w:tc>
        <w:tc>
          <w:tcPr>
            <w:tcW w:w="6517" w:type="dxa"/>
            <w:vAlign w:val="center"/>
          </w:tcPr>
          <w:p w14:paraId="47EB4FC3">
            <w:pPr>
              <w:jc w:val="left"/>
              <w:rPr>
                <w:rFonts w:asciiTheme="minorEastAsia" w:hAnsiTheme="minorEastAsia" w:eastAsiaTheme="minorEastAsia"/>
                <w:szCs w:val="24"/>
              </w:rPr>
            </w:pPr>
            <w:r>
              <w:rPr>
                <w:rFonts w:hint="eastAsia" w:asciiTheme="minorEastAsia" w:hAnsiTheme="minorEastAsia" w:eastAsiaTheme="minorEastAsia"/>
                <w:szCs w:val="24"/>
              </w:rPr>
              <w:t>否</w:t>
            </w:r>
          </w:p>
        </w:tc>
      </w:tr>
      <w:tr w14:paraId="391E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311" w:type="dxa"/>
            <w:vAlign w:val="center"/>
          </w:tcPr>
          <w:p w14:paraId="1B30D5DD">
            <w:pPr>
              <w:jc w:val="center"/>
              <w:rPr>
                <w:szCs w:val="24"/>
              </w:rPr>
            </w:pPr>
            <w:r>
              <w:rPr>
                <w:rFonts w:hint="eastAsia"/>
                <w:szCs w:val="24"/>
              </w:rPr>
              <w:t>附件清单</w:t>
            </w:r>
          </w:p>
        </w:tc>
        <w:tc>
          <w:tcPr>
            <w:tcW w:w="6517" w:type="dxa"/>
            <w:vAlign w:val="center"/>
          </w:tcPr>
          <w:p w14:paraId="402A34D0">
            <w:pPr>
              <w:jc w:val="left"/>
              <w:rPr>
                <w:rFonts w:ascii="宋体" w:hAnsi="宋体"/>
                <w:szCs w:val="24"/>
              </w:rPr>
            </w:pPr>
            <w:r>
              <w:rPr>
                <w:rFonts w:hint="eastAsia" w:ascii="宋体" w:hAnsi="宋体"/>
                <w:szCs w:val="24"/>
              </w:rPr>
              <w:t>无</w:t>
            </w:r>
          </w:p>
        </w:tc>
      </w:tr>
      <w:tr w14:paraId="37BD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311" w:type="dxa"/>
            <w:vAlign w:val="center"/>
          </w:tcPr>
          <w:p w14:paraId="26CC38E3">
            <w:pPr>
              <w:jc w:val="center"/>
              <w:rPr>
                <w:szCs w:val="24"/>
              </w:rPr>
            </w:pPr>
            <w:r>
              <w:rPr>
                <w:rFonts w:hint="eastAsia"/>
                <w:szCs w:val="24"/>
              </w:rPr>
              <w:t>日期</w:t>
            </w:r>
          </w:p>
        </w:tc>
        <w:tc>
          <w:tcPr>
            <w:tcW w:w="6517" w:type="dxa"/>
            <w:vAlign w:val="center"/>
          </w:tcPr>
          <w:p w14:paraId="7286C227">
            <w:pPr>
              <w:jc w:val="left"/>
              <w:rPr>
                <w:rFonts w:asciiTheme="minorEastAsia" w:hAnsiTheme="minorEastAsia" w:eastAsiaTheme="minorEastAsia"/>
                <w:szCs w:val="24"/>
              </w:rPr>
            </w:pPr>
            <w:r>
              <w:rPr>
                <w:rFonts w:cs="Times New Roman" w:asciiTheme="minorEastAsia" w:hAnsiTheme="minorEastAsia" w:eastAsiaTheme="minorEastAsia"/>
                <w:bCs/>
                <w:iCs/>
              </w:rPr>
              <w:t>2026年11月6日</w:t>
            </w:r>
          </w:p>
        </w:tc>
      </w:tr>
    </w:tbl>
    <w:p w14:paraId="21962F6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AFD"/>
    <w:rsid w:val="00046616"/>
    <w:rsid w:val="000D10C7"/>
    <w:rsid w:val="00122469"/>
    <w:rsid w:val="001F4DB9"/>
    <w:rsid w:val="002A1AE2"/>
    <w:rsid w:val="00326E5E"/>
    <w:rsid w:val="003C200B"/>
    <w:rsid w:val="00482F69"/>
    <w:rsid w:val="004E0DB7"/>
    <w:rsid w:val="00502F0A"/>
    <w:rsid w:val="00515361"/>
    <w:rsid w:val="00543454"/>
    <w:rsid w:val="005C7BCC"/>
    <w:rsid w:val="006D1B77"/>
    <w:rsid w:val="007F153A"/>
    <w:rsid w:val="0080680D"/>
    <w:rsid w:val="00840083"/>
    <w:rsid w:val="00847F74"/>
    <w:rsid w:val="00872568"/>
    <w:rsid w:val="00900278"/>
    <w:rsid w:val="00A26072"/>
    <w:rsid w:val="00A378AB"/>
    <w:rsid w:val="00A62AFD"/>
    <w:rsid w:val="00BD00BC"/>
    <w:rsid w:val="00C23BD0"/>
    <w:rsid w:val="00C302C2"/>
    <w:rsid w:val="00C7548C"/>
    <w:rsid w:val="00CF2A6C"/>
    <w:rsid w:val="00D65E9B"/>
    <w:rsid w:val="00E34334"/>
    <w:rsid w:val="00F26CCF"/>
    <w:rsid w:val="00F34644"/>
    <w:rsid w:val="00F52A99"/>
    <w:rsid w:val="00F83645"/>
    <w:rsid w:val="04D2325F"/>
    <w:rsid w:val="0A721B30"/>
    <w:rsid w:val="14292D22"/>
    <w:rsid w:val="150641A5"/>
    <w:rsid w:val="220A0AE9"/>
    <w:rsid w:val="2B2C172B"/>
    <w:rsid w:val="3C8342D6"/>
    <w:rsid w:val="45D4244A"/>
    <w:rsid w:val="464E3068"/>
    <w:rsid w:val="47B1162A"/>
    <w:rsid w:val="47E17BFB"/>
    <w:rsid w:val="49D512E5"/>
    <w:rsid w:val="50A314D9"/>
    <w:rsid w:val="5245110A"/>
    <w:rsid w:val="66754D81"/>
    <w:rsid w:val="6FDC7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paragraph" w:customStyle="1" w:styleId="11">
    <w:name w:val="正文（非表格）"/>
    <w:basedOn w:val="1"/>
    <w:next w:val="1"/>
    <w:qFormat/>
    <w:uiPriority w:val="0"/>
    <w:pPr>
      <w:keepNext/>
      <w:keepLines/>
      <w:tabs>
        <w:tab w:val="left" w:pos="0"/>
      </w:tabs>
      <w:adjustRightInd w:val="0"/>
      <w:snapToGrid w:val="0"/>
      <w:spacing w:after="50" w:afterLines="50" w:line="288" w:lineRule="auto"/>
      <w:ind w:firstLine="420" w:firstLineChars="200"/>
      <w:jc w:val="center"/>
      <w:outlineLvl w:val="0"/>
    </w:pPr>
    <w:rPr>
      <w:rFonts w:hint="eastAsia" w:ascii="微软雅黑" w:hAnsi="微软雅黑" w:eastAsia="微软雅黑" w:cs="微软雅黑"/>
      <w:bCs/>
      <w:kern w:val="44"/>
      <w:sz w:val="21"/>
      <w:szCs w:val="18"/>
    </w:rPr>
  </w:style>
  <w:style w:type="character" w:customStyle="1" w:styleId="12">
    <w:name w:val="批注框文本 字符"/>
    <w:basedOn w:val="9"/>
    <w:link w:val="3"/>
    <w:qFormat/>
    <w:uiPriority w:val="0"/>
    <w:rPr>
      <w:rFonts w:cstheme="minorBidi"/>
      <w:kern w:val="2"/>
      <w:sz w:val="18"/>
      <w:szCs w:val="18"/>
    </w:rPr>
  </w:style>
  <w:style w:type="character" w:customStyle="1" w:styleId="13">
    <w:name w:val="页眉 字符"/>
    <w:basedOn w:val="9"/>
    <w:link w:val="5"/>
    <w:qFormat/>
    <w:uiPriority w:val="0"/>
    <w:rPr>
      <w:rFonts w:cstheme="minorBidi"/>
      <w:kern w:val="2"/>
      <w:sz w:val="18"/>
      <w:szCs w:val="18"/>
    </w:rPr>
  </w:style>
  <w:style w:type="character" w:customStyle="1" w:styleId="14">
    <w:name w:val="页脚 字符"/>
    <w:basedOn w:val="9"/>
    <w:link w:val="4"/>
    <w:qFormat/>
    <w:uiPriority w:val="0"/>
    <w:rPr>
      <w:rFonts w:cstheme="minorBidi"/>
      <w:kern w:val="2"/>
      <w:sz w:val="18"/>
      <w:szCs w:val="18"/>
    </w:rPr>
  </w:style>
  <w:style w:type="paragraph" w:customStyle="1" w:styleId="15">
    <w:name w:val="null15"/>
    <w:hidden/>
    <w:qFormat/>
    <w:uiPriority w:val="0"/>
    <w:rPr>
      <w:rFonts w:hint="eastAsia" w:ascii="宋体" w:hAnsi="宋体" w:eastAsia="宋体" w:cs="宋体"/>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115</Words>
  <Characters>662</Characters>
  <Lines>5</Lines>
  <Paragraphs>1</Paragraphs>
  <TotalTime>0</TotalTime>
  <ScaleCrop>false</ScaleCrop>
  <LinksUpToDate>false</LinksUpToDate>
  <CharactersWithSpaces>776</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2024-09-23T01:51:00Z</dcterms:created>
  <dc:creator>Administrator</dc:creator>
  <cp:lastModifiedBy>YangW</cp:lastModifiedBy>
  <dcterms:modified xsi:type="dcterms:W3CDTF">2026-11-06T09:29:33Z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D12D0D9E3ECA4D659A306F665071D691_12</vt:lpwstr>
  </property>
  <property fmtid="{D5CDD505-2E9C-101B-9397-08002B2CF9AE}" pid="4" name="KSOTemplateDocerSaveRecord">
    <vt:lpwstr>eyJoZGlkIjoiMjk3YWEzMjMzYThlMGJiNmM3Y2ZlNDZmZmY0OGVlMzQiLCJ1c2VySWQiOiI0NTMyNTAxMjYifQ==</vt:lpwstr>
  </property>
</Properties>
</file>